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D807C" w14:textId="12ACC83D" w:rsidR="00B10874" w:rsidRDefault="00A13B5A">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proofErr w:type="spellStart"/>
      <w:r>
        <w:rPr>
          <w:rFonts w:ascii="Arial" w:hAnsi="Arial" w:hint="eastAsia"/>
          <w:b/>
          <w:sz w:val="24"/>
          <w:lang w:val="en-US" w:eastAsia="ja-JP"/>
        </w:rPr>
        <w:t>3GPP</w:t>
      </w:r>
      <w:proofErr w:type="spellEnd"/>
      <w:r>
        <w:rPr>
          <w:rFonts w:ascii="Arial" w:hAnsi="Arial" w:hint="eastAsia"/>
          <w:b/>
          <w:sz w:val="24"/>
          <w:lang w:val="en-US" w:eastAsia="ja-JP"/>
        </w:rPr>
        <w:t xml:space="preserve"> TSG RAN </w:t>
      </w:r>
      <w:proofErr w:type="spellStart"/>
      <w:r>
        <w:rPr>
          <w:rFonts w:ascii="Arial" w:hAnsi="Arial" w:hint="eastAsia"/>
          <w:b/>
          <w:sz w:val="24"/>
          <w:lang w:val="en-US" w:eastAsia="ja-JP"/>
        </w:rPr>
        <w:t>WG1</w:t>
      </w:r>
      <w:proofErr w:type="spellEnd"/>
      <w:r>
        <w:rPr>
          <w:rFonts w:ascii="Arial" w:hAnsi="Arial" w:hint="eastAsia"/>
          <w:b/>
          <w:sz w:val="24"/>
          <w:lang w:val="en-US" w:eastAsia="ja-JP"/>
        </w:rPr>
        <w:t xml:space="preserve"> #1</w:t>
      </w:r>
      <w:r>
        <w:rPr>
          <w:rFonts w:ascii="Arial" w:hAnsi="Arial"/>
          <w:b/>
          <w:sz w:val="24"/>
          <w:lang w:val="en-US" w:eastAsia="ja-JP"/>
        </w:rPr>
        <w:t>2</w:t>
      </w:r>
      <w:r w:rsidR="00231FDD">
        <w:rPr>
          <w:rFonts w:ascii="Arial" w:hAnsi="Arial"/>
          <w:b/>
          <w:sz w:val="24"/>
          <w:lang w:val="en-US" w:eastAsia="ja-JP"/>
        </w:rPr>
        <w:t>3</w:t>
      </w:r>
      <w:r>
        <w:rPr>
          <w:rFonts w:ascii="Arial" w:hAnsi="Arial"/>
          <w:b/>
          <w:sz w:val="24"/>
          <w:lang w:val="en-US" w:eastAsia="ja-JP"/>
        </w:rPr>
        <w:tab/>
      </w:r>
      <w:proofErr w:type="spellStart"/>
      <w:r>
        <w:rPr>
          <w:rFonts w:ascii="Arial" w:hAnsi="Arial" w:hint="eastAsia"/>
          <w:b/>
          <w:sz w:val="24"/>
          <w:lang w:val="en-US" w:eastAsia="ja-JP"/>
        </w:rPr>
        <w:t>R1</w:t>
      </w:r>
      <w:proofErr w:type="spellEnd"/>
      <w:r>
        <w:rPr>
          <w:rFonts w:ascii="Arial" w:hAnsi="Arial" w:hint="eastAsia"/>
          <w:b/>
          <w:sz w:val="24"/>
          <w:lang w:val="en-US" w:eastAsia="ja-JP"/>
        </w:rPr>
        <w:t>-25</w:t>
      </w:r>
      <w:r w:rsidR="00020B6F">
        <w:rPr>
          <w:rFonts w:ascii="Arial" w:hAnsi="Arial"/>
          <w:b/>
          <w:sz w:val="24"/>
          <w:lang w:val="en-US" w:eastAsia="ja-JP"/>
        </w:rPr>
        <w:t>0</w:t>
      </w:r>
      <w:r w:rsidR="00F23978">
        <w:rPr>
          <w:rFonts w:ascii="Arial" w:hAnsi="Arial"/>
          <w:b/>
          <w:sz w:val="24"/>
          <w:lang w:val="en-US" w:eastAsia="ja-JP"/>
        </w:rPr>
        <w:t>9155</w:t>
      </w:r>
    </w:p>
    <w:p w14:paraId="0E0FD430" w14:textId="6BE3E9B5" w:rsidR="009B044B" w:rsidRDefault="00231FDD">
      <w:pPr>
        <w:tabs>
          <w:tab w:val="left" w:pos="1985"/>
        </w:tabs>
        <w:overflowPunct w:val="0"/>
        <w:autoSpaceDE w:val="0"/>
        <w:autoSpaceDN w:val="0"/>
        <w:adjustRightInd w:val="0"/>
        <w:spacing w:beforeLines="0" w:before="0" w:line="240" w:lineRule="auto"/>
        <w:jc w:val="both"/>
        <w:textAlignment w:val="baseline"/>
        <w:rPr>
          <w:rFonts w:ascii="Arial" w:hAnsi="Arial"/>
          <w:b/>
          <w:sz w:val="24"/>
          <w:lang w:val="en-US" w:eastAsia="ja-JP"/>
        </w:rPr>
      </w:pPr>
      <w:bookmarkStart w:id="1" w:name="OLE_LINK3"/>
      <w:bookmarkStart w:id="2" w:name="OLE_LINK4"/>
      <w:bookmarkEnd w:id="0"/>
      <w:r>
        <w:rPr>
          <w:rFonts w:ascii="Arial" w:hAnsi="Arial"/>
          <w:b/>
          <w:sz w:val="24"/>
          <w:lang w:val="en-US" w:eastAsia="ja-JP"/>
        </w:rPr>
        <w:t>Dallas</w:t>
      </w:r>
      <w:r w:rsidR="009B044B" w:rsidRPr="009B044B">
        <w:rPr>
          <w:rFonts w:ascii="Arial" w:hAnsi="Arial"/>
          <w:b/>
          <w:sz w:val="24"/>
          <w:lang w:val="en-US" w:eastAsia="ja-JP"/>
        </w:rPr>
        <w:t xml:space="preserve">, </w:t>
      </w:r>
      <w:r>
        <w:rPr>
          <w:rFonts w:ascii="Arial" w:hAnsi="Arial"/>
          <w:b/>
          <w:sz w:val="24"/>
          <w:lang w:val="en-US" w:eastAsia="ja-JP"/>
        </w:rPr>
        <w:t>US</w:t>
      </w:r>
      <w:r w:rsidR="009B044B" w:rsidRPr="009B044B">
        <w:rPr>
          <w:rFonts w:ascii="Arial" w:hAnsi="Arial"/>
          <w:b/>
          <w:sz w:val="24"/>
          <w:lang w:val="en-US" w:eastAsia="ja-JP"/>
        </w:rPr>
        <w:t xml:space="preserve">, </w:t>
      </w:r>
      <w:r w:rsidR="002B2D93" w:rsidRPr="002B2D93">
        <w:rPr>
          <w:rFonts w:ascii="Arial" w:hAnsi="Arial"/>
          <w:b/>
          <w:sz w:val="24"/>
          <w:lang w:val="en-US" w:eastAsia="ja-JP"/>
        </w:rPr>
        <w:t>Nov 17th – 21st, 2025</w:t>
      </w:r>
    </w:p>
    <w:p w14:paraId="49D75A54" w14:textId="77777777" w:rsidR="009B044B" w:rsidRDefault="009B044B">
      <w:pPr>
        <w:tabs>
          <w:tab w:val="left" w:pos="1985"/>
        </w:tabs>
        <w:overflowPunct w:val="0"/>
        <w:autoSpaceDE w:val="0"/>
        <w:autoSpaceDN w:val="0"/>
        <w:adjustRightInd w:val="0"/>
        <w:spacing w:beforeLines="0" w:before="0" w:line="240" w:lineRule="auto"/>
        <w:jc w:val="both"/>
        <w:textAlignment w:val="baseline"/>
        <w:rPr>
          <w:rFonts w:ascii="Arial" w:hAnsi="Arial"/>
          <w:b/>
          <w:sz w:val="24"/>
          <w:lang w:val="en-US" w:eastAsia="ja-JP"/>
        </w:rPr>
      </w:pPr>
    </w:p>
    <w:p w14:paraId="632E1E28" w14:textId="5457BE4F"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 xml:space="preserve">Source: </w:t>
      </w:r>
      <w:r>
        <w:rPr>
          <w:rFonts w:ascii="Arial" w:hAnsi="Arial"/>
          <w:b/>
          <w:sz w:val="22"/>
          <w:szCs w:val="22"/>
          <w:lang w:val="en-US"/>
        </w:rPr>
        <w:tab/>
      </w:r>
      <w:r w:rsidR="00314D03" w:rsidRPr="00314D03">
        <w:rPr>
          <w:rFonts w:ascii="Arial" w:hAnsi="Arial"/>
          <w:b/>
          <w:sz w:val="22"/>
          <w:szCs w:val="22"/>
          <w:lang w:val="en-US"/>
        </w:rPr>
        <w:t>MediaTek Inc.</w:t>
      </w:r>
    </w:p>
    <w:p w14:paraId="7B47C88F" w14:textId="453B883D"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sidR="00F157E7" w:rsidRPr="00F157E7">
        <w:rPr>
          <w:rFonts w:ascii="Arial" w:hAnsi="Arial"/>
          <w:b/>
          <w:sz w:val="22"/>
          <w:szCs w:val="22"/>
          <w:lang w:val="en-US" w:eastAsia="zh-CN"/>
        </w:rPr>
        <w:t>Other procedures for Ambient IoT</w:t>
      </w:r>
    </w:p>
    <w:p w14:paraId="0BE60299" w14:textId="3F640761"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10.3.</w:t>
      </w:r>
      <w:r w:rsidR="00A277D1">
        <w:rPr>
          <w:rFonts w:ascii="Arial" w:hAnsi="Arial"/>
          <w:b/>
          <w:sz w:val="22"/>
          <w:szCs w:val="22"/>
          <w:lang w:val="en-US" w:eastAsia="zh-CN"/>
        </w:rPr>
        <w:t>2.3</w:t>
      </w:r>
    </w:p>
    <w:bookmarkEnd w:id="1"/>
    <w:bookmarkEnd w:id="2"/>
    <w:p w14:paraId="11FE69BF" w14:textId="77777777" w:rsidR="00B10874" w:rsidRDefault="00A13B5A">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82B86C5"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59235EB2" w14:textId="2E3E7CCA" w:rsidR="00C3224A" w:rsidRDefault="00C3224A" w:rsidP="00C3224A">
      <w:pPr>
        <w:spacing w:before="120" w:after="120"/>
        <w:jc w:val="both"/>
        <w:rPr>
          <w:rFonts w:eastAsiaTheme="minorEastAsia"/>
          <w:lang w:val="en-US" w:eastAsia="zh-CN"/>
        </w:rPr>
      </w:pPr>
      <w:r>
        <w:rPr>
          <w:rFonts w:eastAsiaTheme="minorEastAsia"/>
          <w:lang w:eastAsia="zh-CN"/>
        </w:rPr>
        <w:t>In RAN #109, the revised SID on enhancements for solutions for Ambient IoT in NR outdoor for active devices was described in the</w:t>
      </w:r>
      <w:r w:rsidR="00314D03">
        <w:rPr>
          <w:rFonts w:eastAsiaTheme="minorEastAsia"/>
          <w:lang w:eastAsia="zh-CN"/>
        </w:rPr>
        <w:t xml:space="preserve"> </w:t>
      </w:r>
      <w:r w:rsidR="00314D03">
        <w:rPr>
          <w:rFonts w:eastAsiaTheme="minorEastAsia"/>
          <w:lang w:eastAsia="zh-CN"/>
        </w:rPr>
        <w:fldChar w:fldCharType="begin"/>
      </w:r>
      <w:r w:rsidR="00314D03">
        <w:rPr>
          <w:rFonts w:eastAsiaTheme="minorEastAsia"/>
          <w:lang w:eastAsia="zh-CN"/>
        </w:rPr>
        <w:instrText xml:space="preserve"> REF _Ref210301666 \r \h </w:instrText>
      </w:r>
      <w:r w:rsidR="00314D03">
        <w:rPr>
          <w:rFonts w:eastAsiaTheme="minorEastAsia"/>
          <w:lang w:eastAsia="zh-CN"/>
        </w:rPr>
      </w:r>
      <w:r w:rsidR="00314D03">
        <w:rPr>
          <w:rFonts w:eastAsiaTheme="minorEastAsia"/>
          <w:lang w:eastAsia="zh-CN"/>
        </w:rPr>
        <w:fldChar w:fldCharType="separate"/>
      </w:r>
      <w:r w:rsidR="00A7492C">
        <w:rPr>
          <w:rFonts w:eastAsiaTheme="minorEastAsia"/>
          <w:lang w:eastAsia="zh-CN"/>
        </w:rPr>
        <w:t>[1]</w:t>
      </w:r>
      <w:r w:rsidR="00314D03">
        <w:rPr>
          <w:rFonts w:eastAsiaTheme="minorEastAsia"/>
          <w:lang w:eastAsia="zh-CN"/>
        </w:rPr>
        <w:fldChar w:fldCharType="end"/>
      </w:r>
      <w:r>
        <w:rPr>
          <w:rFonts w:eastAsiaTheme="minorEastAsia"/>
          <w:lang w:eastAsia="zh-CN"/>
        </w:rPr>
        <w:t>:</w:t>
      </w:r>
    </w:p>
    <w:tbl>
      <w:tblPr>
        <w:tblStyle w:val="af0"/>
        <w:tblW w:w="0" w:type="auto"/>
        <w:tblLook w:val="04A0" w:firstRow="1" w:lastRow="0" w:firstColumn="1" w:lastColumn="0" w:noHBand="0" w:noVBand="1"/>
      </w:tblPr>
      <w:tblGrid>
        <w:gridCol w:w="9286"/>
      </w:tblGrid>
      <w:tr w:rsidR="00C3224A" w14:paraId="664F7087" w14:textId="77777777" w:rsidTr="00C3224A">
        <w:tc>
          <w:tcPr>
            <w:tcW w:w="9286" w:type="dxa"/>
            <w:tcBorders>
              <w:top w:val="single" w:sz="4" w:space="0" w:color="000000"/>
              <w:left w:val="single" w:sz="4" w:space="0" w:color="000000"/>
              <w:bottom w:val="single" w:sz="4" w:space="0" w:color="000000"/>
              <w:right w:val="single" w:sz="4" w:space="0" w:color="000000"/>
            </w:tcBorders>
          </w:tcPr>
          <w:p w14:paraId="3CF4AA68" w14:textId="77777777" w:rsidR="00C3224A" w:rsidRDefault="00C3224A">
            <w:pPr>
              <w:spacing w:before="120" w:after="120"/>
              <w:rPr>
                <w:rFonts w:eastAsia="等线"/>
                <w:u w:val="single"/>
                <w:lang w:eastAsia="en-GB"/>
              </w:rPr>
            </w:pPr>
            <w:r>
              <w:rPr>
                <w:rFonts w:eastAsia="等线"/>
                <w:u w:val="single"/>
              </w:rPr>
              <w:t>Objectives</w:t>
            </w:r>
          </w:p>
          <w:p w14:paraId="113A2629" w14:textId="77777777" w:rsidR="00C3224A" w:rsidRDefault="00C3224A" w:rsidP="00C3224A">
            <w:pPr>
              <w:pStyle w:val="af7"/>
              <w:widowControl/>
              <w:numPr>
                <w:ilvl w:val="0"/>
                <w:numId w:val="17"/>
              </w:numPr>
              <w:overflowPunct w:val="0"/>
              <w:autoSpaceDE w:val="0"/>
              <w:autoSpaceDN w:val="0"/>
              <w:adjustRightInd w:val="0"/>
              <w:spacing w:beforeLines="0" w:before="120" w:after="120" w:line="240" w:lineRule="auto"/>
              <w:ind w:left="357" w:firstLineChars="0" w:hanging="357"/>
              <w:contextualSpacing/>
              <w:jc w:val="left"/>
              <w:textAlignment w:val="baseline"/>
              <w:rPr>
                <w:rFonts w:ascii="Times New Roman" w:hAnsi="Times New Roman"/>
                <w:szCs w:val="20"/>
              </w:rPr>
            </w:pPr>
            <w:r>
              <w:rPr>
                <w:rFonts w:ascii="Times New Roman" w:hAnsi="Times New Roman"/>
                <w:szCs w:val="20"/>
              </w:rPr>
              <w:t>Study necessary and feasible changes to the Rel-19 A-IoT specifications to support A-IoT in outdoor scenarios under the following conditions [</w:t>
            </w:r>
            <w:proofErr w:type="spellStart"/>
            <w:r>
              <w:rPr>
                <w:rFonts w:ascii="Times New Roman" w:hAnsi="Times New Roman"/>
                <w:szCs w:val="20"/>
              </w:rPr>
              <w:t>RAN1</w:t>
            </w:r>
            <w:proofErr w:type="spellEnd"/>
            <w:r>
              <w:rPr>
                <w:rFonts w:ascii="Times New Roman" w:hAnsi="Times New Roman"/>
                <w:szCs w:val="20"/>
              </w:rPr>
              <w:t>-led]:</w:t>
            </w:r>
          </w:p>
          <w:p w14:paraId="7ED6A638"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Deployment scenario 4 with topology 1 with no external carrier wave.</w:t>
            </w:r>
          </w:p>
          <w:p w14:paraId="0BB39C7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Traffic types DO-</w:t>
            </w:r>
            <w:proofErr w:type="spellStart"/>
            <w:r>
              <w:rPr>
                <w:rFonts w:eastAsia="等线"/>
              </w:rPr>
              <w:t>DTT</w:t>
            </w:r>
            <w:proofErr w:type="spellEnd"/>
            <w:r>
              <w:rPr>
                <w:rFonts w:eastAsia="等线"/>
              </w:rPr>
              <w:t>, DT, DO-A.</w:t>
            </w:r>
          </w:p>
          <w:p w14:paraId="04857CB0"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Representative use cases </w:t>
            </w:r>
            <w:proofErr w:type="spellStart"/>
            <w:r>
              <w:rPr>
                <w:rFonts w:eastAsia="等线"/>
              </w:rPr>
              <w:t>rUC5</w:t>
            </w:r>
            <w:proofErr w:type="spellEnd"/>
            <w:r>
              <w:rPr>
                <w:rFonts w:eastAsia="等线"/>
              </w:rPr>
              <w:t xml:space="preserve"> (outdoor inventory), </w:t>
            </w:r>
            <w:proofErr w:type="spellStart"/>
            <w:r>
              <w:rPr>
                <w:rFonts w:eastAsia="等线"/>
              </w:rPr>
              <w:t>rUC6</w:t>
            </w:r>
            <w:proofErr w:type="spellEnd"/>
            <w:r>
              <w:rPr>
                <w:rFonts w:eastAsia="等线"/>
              </w:rPr>
              <w:t xml:space="preserve"> (outdoor sensor), and </w:t>
            </w:r>
            <w:proofErr w:type="spellStart"/>
            <w:r>
              <w:rPr>
                <w:rFonts w:eastAsia="等线"/>
              </w:rPr>
              <w:t>rUC8</w:t>
            </w:r>
            <w:proofErr w:type="spellEnd"/>
            <w:r>
              <w:rPr>
                <w:rFonts w:eastAsia="等线"/>
              </w:rPr>
              <w:t xml:space="preserve"> (outdoor command).</w:t>
            </w:r>
          </w:p>
          <w:p w14:paraId="100D130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Assumption that A-IoT BS readers are deployed on the same sites as existing outdoor NR macro BSs.</w:t>
            </w:r>
          </w:p>
          <w:p w14:paraId="60A0AC84"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proofErr w:type="spellStart"/>
            <w:r>
              <w:rPr>
                <w:rFonts w:eastAsia="等线"/>
              </w:rPr>
              <w:t>FR1</w:t>
            </w:r>
            <w:proofErr w:type="spellEnd"/>
            <w:r>
              <w:rPr>
                <w:rFonts w:eastAsia="等线"/>
              </w:rPr>
              <w:t xml:space="preserve"> licensed spectrum in </w:t>
            </w:r>
            <w:proofErr w:type="spellStart"/>
            <w:r>
              <w:rPr>
                <w:rFonts w:eastAsia="等线"/>
              </w:rPr>
              <w:t>FDD</w:t>
            </w:r>
            <w:proofErr w:type="spellEnd"/>
            <w:r>
              <w:rPr>
                <w:rFonts w:eastAsia="等线"/>
              </w:rPr>
              <w:t xml:space="preserve"> in-band to NR and in standalone bands, with </w:t>
            </w:r>
            <w:proofErr w:type="spellStart"/>
            <w:r>
              <w:rPr>
                <w:rFonts w:eastAsia="等线"/>
              </w:rPr>
              <w:t>R2D</w:t>
            </w:r>
            <w:proofErr w:type="spellEnd"/>
            <w:r>
              <w:rPr>
                <w:rFonts w:eastAsia="等线"/>
              </w:rPr>
              <w:t xml:space="preserve"> in DL spectrum and </w:t>
            </w:r>
            <w:proofErr w:type="spellStart"/>
            <w:r>
              <w:rPr>
                <w:rFonts w:eastAsia="等线"/>
              </w:rPr>
              <w:t>D2R</w:t>
            </w:r>
            <w:proofErr w:type="spellEnd"/>
            <w:r>
              <w:rPr>
                <w:rFonts w:eastAsia="等线"/>
              </w:rPr>
              <w:t xml:space="preserve"> in UL spectrum.</w:t>
            </w:r>
          </w:p>
          <w:p w14:paraId="0F07392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Assumption of the same air interface for Device </w:t>
            </w:r>
            <w:proofErr w:type="spellStart"/>
            <w:r>
              <w:rPr>
                <w:rFonts w:eastAsia="等线"/>
              </w:rPr>
              <w:t>2b</w:t>
            </w:r>
            <w:proofErr w:type="spellEnd"/>
            <w:r>
              <w:rPr>
                <w:rFonts w:eastAsia="等线"/>
              </w:rPr>
              <w:t xml:space="preserve"> and Device C.</w:t>
            </w:r>
          </w:p>
          <w:p w14:paraId="2327F737"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bookmarkStart w:id="6" w:name="_Hlk200381346"/>
            <w:r>
              <w:rPr>
                <w:rFonts w:eastAsia="等线"/>
              </w:rPr>
              <w:t xml:space="preserve">Take into account the aspects reported in Clause 6.10 “DO-A assessment” and Clause 6.1.1.7 “CFO calibration signal for device </w:t>
            </w:r>
            <w:proofErr w:type="spellStart"/>
            <w:r>
              <w:rPr>
                <w:rFonts w:eastAsia="等线"/>
              </w:rPr>
              <w:t>2b</w:t>
            </w:r>
            <w:proofErr w:type="spellEnd"/>
            <w:r>
              <w:rPr>
                <w:rFonts w:eastAsia="等线"/>
              </w:rPr>
              <w:t>” of TR 38.769</w:t>
            </w:r>
            <w:bookmarkEnd w:id="6"/>
          </w:p>
          <w:p w14:paraId="4F43CA5A"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Positioning for outdoor scenarios is under objective 2.</w:t>
            </w:r>
          </w:p>
          <w:p w14:paraId="76B6C292" w14:textId="77777777" w:rsidR="00C3224A" w:rsidRDefault="00C3224A">
            <w:pPr>
              <w:spacing w:before="120" w:after="120"/>
              <w:ind w:left="357"/>
              <w:rPr>
                <w:rFonts w:eastAsia="等线"/>
              </w:rPr>
            </w:pPr>
            <w:r>
              <w:rPr>
                <w:rFonts w:eastAsia="等线"/>
              </w:rPr>
              <w:t xml:space="preserve">This objective begins after </w:t>
            </w:r>
            <w:proofErr w:type="spellStart"/>
            <w:r>
              <w:rPr>
                <w:rFonts w:eastAsia="等线"/>
              </w:rPr>
              <w:t>RAN#108</w:t>
            </w:r>
            <w:proofErr w:type="spellEnd"/>
            <w:r>
              <w:rPr>
                <w:rFonts w:eastAsia="等线"/>
              </w:rPr>
              <w:t xml:space="preserve"> (June 2025)</w:t>
            </w:r>
          </w:p>
          <w:p w14:paraId="5C53601C" w14:textId="77777777" w:rsidR="00C3224A" w:rsidRDefault="00C3224A">
            <w:pPr>
              <w:spacing w:before="120" w:after="120"/>
              <w:ind w:left="357"/>
              <w:rPr>
                <w:rFonts w:eastAsia="等线"/>
              </w:rPr>
            </w:pPr>
            <w:proofErr w:type="spellStart"/>
            <w:r>
              <w:rPr>
                <w:rFonts w:eastAsia="等线"/>
              </w:rPr>
              <w:t>RAN#111</w:t>
            </w:r>
            <w:proofErr w:type="spellEnd"/>
            <w:r>
              <w:rPr>
                <w:rFonts w:eastAsia="等线"/>
              </w:rPr>
              <w:t xml:space="preserve"> (March 2026) will make a decision on whether to include outdoor scenarios in </w:t>
            </w:r>
            <w:proofErr w:type="spellStart"/>
            <w:r>
              <w:rPr>
                <w:rFonts w:eastAsia="等线"/>
              </w:rPr>
              <w:t>Rel</w:t>
            </w:r>
            <w:proofErr w:type="spellEnd"/>
            <w:r>
              <w:rPr>
                <w:rFonts w:eastAsia="等线"/>
              </w:rPr>
              <w:t>-20 normative work.</w:t>
            </w:r>
          </w:p>
          <w:p w14:paraId="059B02CB" w14:textId="77777777" w:rsidR="00C3224A" w:rsidRDefault="00C3224A">
            <w:pPr>
              <w:spacing w:before="120" w:after="120"/>
              <w:ind w:left="360"/>
              <w:rPr>
                <w:rFonts w:eastAsia="等线"/>
              </w:rPr>
            </w:pPr>
          </w:p>
          <w:p w14:paraId="26C6D973" w14:textId="77777777" w:rsidR="00C3224A" w:rsidRDefault="00C3224A">
            <w:pPr>
              <w:spacing w:before="120" w:after="120"/>
              <w:ind w:left="360"/>
              <w:rPr>
                <w:rFonts w:eastAsia="等线"/>
              </w:rPr>
            </w:pPr>
            <w:r>
              <w:rPr>
                <w:rFonts w:eastAsia="等线"/>
              </w:rPr>
              <w:t>This objective includes:</w:t>
            </w:r>
          </w:p>
          <w:p w14:paraId="3590D0FE" w14:textId="77777777" w:rsidR="00C3224A" w:rsidRDefault="00C3224A">
            <w:pPr>
              <w:spacing w:before="120" w:after="120"/>
              <w:ind w:left="360"/>
              <w:rPr>
                <w:rFonts w:eastAsia="等线"/>
                <w:b/>
                <w:bCs/>
                <w:u w:val="single"/>
              </w:rPr>
            </w:pPr>
            <w:proofErr w:type="spellStart"/>
            <w:r>
              <w:rPr>
                <w:rFonts w:eastAsia="等线"/>
                <w:b/>
                <w:bCs/>
                <w:u w:val="single"/>
              </w:rPr>
              <w:t>RAN1</w:t>
            </w:r>
            <w:proofErr w:type="spellEnd"/>
            <w:r>
              <w:rPr>
                <w:rFonts w:eastAsia="等线"/>
                <w:b/>
                <w:bCs/>
                <w:u w:val="single"/>
              </w:rPr>
              <w:t>-led</w:t>
            </w:r>
          </w:p>
          <w:p w14:paraId="0FAE6D4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Study necessary and feasible changes to the </w:t>
            </w:r>
            <w:proofErr w:type="spellStart"/>
            <w:r>
              <w:rPr>
                <w:rFonts w:eastAsia="等线"/>
              </w:rPr>
              <w:t>Rel</w:t>
            </w:r>
            <w:proofErr w:type="spellEnd"/>
            <w:r>
              <w:rPr>
                <w:rFonts w:eastAsia="等线"/>
              </w:rPr>
              <w:t>-19 air interface to support the above scenarios</w:t>
            </w:r>
          </w:p>
          <w:p w14:paraId="31A3F253"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 xml:space="preserve">Air interface for device </w:t>
            </w:r>
            <w:proofErr w:type="spellStart"/>
            <w:r>
              <w:rPr>
                <w:rFonts w:eastAsia="等线"/>
              </w:rPr>
              <w:t>2b</w:t>
            </w:r>
            <w:proofErr w:type="spellEnd"/>
            <w:r>
              <w:rPr>
                <w:rFonts w:eastAsia="等线"/>
              </w:rPr>
              <w:t xml:space="preserve">/C studied for outdoor will be reused for supporting device </w:t>
            </w:r>
            <w:proofErr w:type="spellStart"/>
            <w:r>
              <w:rPr>
                <w:rFonts w:eastAsia="等线"/>
              </w:rPr>
              <w:t>2b</w:t>
            </w:r>
            <w:proofErr w:type="spellEnd"/>
            <w:r>
              <w:rPr>
                <w:rFonts w:eastAsia="等线"/>
              </w:rPr>
              <w:t>/C in indoor scenarios</w:t>
            </w:r>
          </w:p>
          <w:p w14:paraId="79941B56"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Study applicability and necessity of Device </w:t>
            </w:r>
            <w:proofErr w:type="spellStart"/>
            <w:r>
              <w:rPr>
                <w:rFonts w:eastAsia="等线"/>
              </w:rPr>
              <w:t>2b</w:t>
            </w:r>
            <w:proofErr w:type="spellEnd"/>
            <w:r>
              <w:rPr>
                <w:rFonts w:eastAsia="等线"/>
              </w:rPr>
              <w:t xml:space="preserve"> and Device C to the above scenarios, assuming similar device architectures for Device </w:t>
            </w:r>
            <w:proofErr w:type="spellStart"/>
            <w:r>
              <w:rPr>
                <w:rFonts w:eastAsia="等线"/>
              </w:rPr>
              <w:t>2b</w:t>
            </w:r>
            <w:proofErr w:type="spellEnd"/>
            <w:r>
              <w:rPr>
                <w:rFonts w:eastAsia="等线"/>
              </w:rPr>
              <w:t xml:space="preserve"> and Device C.</w:t>
            </w:r>
          </w:p>
          <w:p w14:paraId="41E9B37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While providing clear differentiation with existing </w:t>
            </w:r>
            <w:proofErr w:type="spellStart"/>
            <w:r>
              <w:rPr>
                <w:rFonts w:eastAsia="等线"/>
              </w:rPr>
              <w:t>3GPP</w:t>
            </w:r>
            <w:proofErr w:type="spellEnd"/>
            <w:r>
              <w:rPr>
                <w:rFonts w:eastAsia="等线"/>
              </w:rPr>
              <w:t xml:space="preserve"> </w:t>
            </w:r>
            <w:proofErr w:type="spellStart"/>
            <w:r>
              <w:rPr>
                <w:rFonts w:eastAsia="等线"/>
              </w:rPr>
              <w:t>LPWA</w:t>
            </w:r>
            <w:proofErr w:type="spellEnd"/>
            <w:r>
              <w:rPr>
                <w:rFonts w:eastAsia="等线"/>
              </w:rPr>
              <w:t xml:space="preserve"> IoT technology and the features of </w:t>
            </w:r>
            <w:proofErr w:type="spellStart"/>
            <w:r>
              <w:rPr>
                <w:rFonts w:eastAsia="等线"/>
              </w:rPr>
              <w:t>6G</w:t>
            </w:r>
            <w:proofErr w:type="spellEnd"/>
            <w:r>
              <w:rPr>
                <w:rFonts w:eastAsia="等线"/>
              </w:rPr>
              <w:t xml:space="preserve"> relevant to IoT, study outcomes should include </w:t>
            </w:r>
            <w:r>
              <w:t>achievable cell edge data rate assuming</w:t>
            </w:r>
          </w:p>
          <w:p w14:paraId="3D97CF5A"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distance between Reader and Device of 50-500 m</w:t>
            </w:r>
          </w:p>
          <w:p w14:paraId="03FA7CBA"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transmit power between -3 dBm and +5 dBm for device C</w:t>
            </w:r>
          </w:p>
          <w:p w14:paraId="3B8F948F" w14:textId="77777777" w:rsidR="00C3224A" w:rsidRDefault="00C3224A" w:rsidP="00C3224A">
            <w:pPr>
              <w:numPr>
                <w:ilvl w:val="2"/>
                <w:numId w:val="18"/>
              </w:numPr>
              <w:overflowPunct w:val="0"/>
              <w:autoSpaceDE w:val="0"/>
              <w:autoSpaceDN w:val="0"/>
              <w:adjustRightInd w:val="0"/>
              <w:spacing w:beforeLines="0" w:before="120" w:afterLines="50" w:after="120" w:line="240" w:lineRule="auto"/>
              <w:ind w:left="2694" w:hanging="354"/>
              <w:rPr>
                <w:rFonts w:eastAsia="等线"/>
              </w:rPr>
            </w:pPr>
            <w:proofErr w:type="spellStart"/>
            <w:r>
              <w:rPr>
                <w:rFonts w:eastAsia="等线"/>
              </w:rPr>
              <w:t>RAN1</w:t>
            </w:r>
            <w:proofErr w:type="spellEnd"/>
            <w:r>
              <w:rPr>
                <w:rFonts w:eastAsia="等线"/>
              </w:rPr>
              <w:t xml:space="preserve"> to recommend feasible values within this range</w:t>
            </w:r>
          </w:p>
          <w:p w14:paraId="0E42F324"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 xml:space="preserve">Maximum transmit power of -20 dBm and -10 dBm for device </w:t>
            </w:r>
            <w:proofErr w:type="spellStart"/>
            <w:r>
              <w:rPr>
                <w:rFonts w:eastAsia="等线"/>
              </w:rPr>
              <w:t>2b</w:t>
            </w:r>
            <w:proofErr w:type="spellEnd"/>
          </w:p>
          <w:p w14:paraId="3976609B" w14:textId="77777777" w:rsidR="00C3224A" w:rsidRDefault="00C3224A">
            <w:pPr>
              <w:spacing w:before="120" w:after="120"/>
              <w:ind w:left="1440"/>
              <w:rPr>
                <w:rFonts w:eastAsia="等线"/>
              </w:rPr>
            </w:pPr>
            <w:r>
              <w:rPr>
                <w:rFonts w:eastAsia="等线"/>
              </w:rPr>
              <w:lastRenderedPageBreak/>
              <w:t>Study outcome should include assumptions on the energy harvesting/storage used to obtain the reported data rates and this includes the possibility of capturing results using energy harvesting with energy provided by the reader or by other sources.</w:t>
            </w:r>
          </w:p>
          <w:p w14:paraId="0D64DA73"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Define necessary further evaluation assumptions of deployment scenarios for coverage and coexistence evaluations.</w:t>
            </w:r>
          </w:p>
          <w:p w14:paraId="711D33D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Define link budget calculation for coverage.</w:t>
            </w:r>
          </w:p>
          <w:p w14:paraId="085A6C37" w14:textId="77777777" w:rsidR="00C3224A" w:rsidRDefault="00C3224A" w:rsidP="00C3224A">
            <w:pPr>
              <w:pStyle w:val="af7"/>
              <w:widowControl/>
              <w:numPr>
                <w:ilvl w:val="0"/>
                <w:numId w:val="17"/>
              </w:numPr>
              <w:overflowPunct w:val="0"/>
              <w:autoSpaceDE w:val="0"/>
              <w:autoSpaceDN w:val="0"/>
              <w:adjustRightInd w:val="0"/>
              <w:spacing w:beforeLines="0" w:before="120" w:after="120" w:line="240" w:lineRule="auto"/>
              <w:ind w:left="357" w:firstLineChars="0" w:hanging="357"/>
              <w:contextualSpacing/>
              <w:jc w:val="left"/>
              <w:textAlignment w:val="baseline"/>
              <w:rPr>
                <w:rFonts w:ascii="Times New Roman" w:hAnsi="Times New Roman"/>
                <w:szCs w:val="20"/>
              </w:rPr>
            </w:pPr>
            <w:r>
              <w:rPr>
                <w:rFonts w:ascii="Times New Roman" w:hAnsi="Times New Roman"/>
                <w:szCs w:val="20"/>
              </w:rPr>
              <w:t xml:space="preserve">Identify </w:t>
            </w:r>
            <w:proofErr w:type="spellStart"/>
            <w:r>
              <w:rPr>
                <w:rFonts w:ascii="Times New Roman" w:hAnsi="Times New Roman"/>
                <w:szCs w:val="20"/>
              </w:rPr>
              <w:t>D2R</w:t>
            </w:r>
            <w:proofErr w:type="spellEnd"/>
            <w:r>
              <w:rPr>
                <w:rFonts w:ascii="Times New Roman" w:hAnsi="Times New Roman"/>
                <w:szCs w:val="20"/>
              </w:rPr>
              <w:t xml:space="preserve"> </w:t>
            </w:r>
            <w:proofErr w:type="spellStart"/>
            <w:r>
              <w:rPr>
                <w:rFonts w:ascii="Times New Roman" w:hAnsi="Times New Roman"/>
                <w:szCs w:val="20"/>
              </w:rPr>
              <w:t>RSRP</w:t>
            </w:r>
            <w:proofErr w:type="spellEnd"/>
            <w:r>
              <w:rPr>
                <w:rFonts w:ascii="Times New Roman" w:hAnsi="Times New Roman"/>
                <w:szCs w:val="20"/>
              </w:rPr>
              <w:t xml:space="preserve">-like measurement, and the involved A-IoT signal(s)/channel(s), which are feasible for Device </w:t>
            </w:r>
            <w:proofErr w:type="spellStart"/>
            <w:r>
              <w:rPr>
                <w:rFonts w:ascii="Times New Roman" w:hAnsi="Times New Roman"/>
                <w:szCs w:val="20"/>
              </w:rPr>
              <w:t>2b</w:t>
            </w:r>
            <w:proofErr w:type="spellEnd"/>
            <w:r>
              <w:rPr>
                <w:rFonts w:ascii="Times New Roman" w:hAnsi="Times New Roman"/>
                <w:szCs w:val="20"/>
              </w:rPr>
              <w:t>/Device C for more accurate outdoor Device localization than based on Reader-ID [</w:t>
            </w:r>
            <w:proofErr w:type="spellStart"/>
            <w:r>
              <w:rPr>
                <w:rFonts w:ascii="Times New Roman" w:hAnsi="Times New Roman"/>
                <w:szCs w:val="20"/>
              </w:rPr>
              <w:t>RAN1</w:t>
            </w:r>
            <w:proofErr w:type="spellEnd"/>
            <w:r>
              <w:rPr>
                <w:rFonts w:ascii="Times New Roman" w:hAnsi="Times New Roman"/>
                <w:szCs w:val="20"/>
              </w:rPr>
              <w:t>].</w:t>
            </w:r>
          </w:p>
          <w:p w14:paraId="0FF63AF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proofErr w:type="spellStart"/>
            <w:r>
              <w:rPr>
                <w:rFonts w:eastAsia="等线"/>
              </w:rPr>
              <w:t>RAN1</w:t>
            </w:r>
            <w:proofErr w:type="spellEnd"/>
            <w:r>
              <w:rPr>
                <w:rFonts w:eastAsia="等线"/>
              </w:rPr>
              <w:t xml:space="preserve"> is not expected to conclude on the positioning accuracy as part of the identification of feasible </w:t>
            </w:r>
            <w:proofErr w:type="spellStart"/>
            <w:r>
              <w:rPr>
                <w:rFonts w:eastAsia="等线"/>
              </w:rPr>
              <w:t>D2R</w:t>
            </w:r>
            <w:proofErr w:type="spellEnd"/>
            <w:r>
              <w:rPr>
                <w:rFonts w:eastAsia="等线"/>
              </w:rPr>
              <w:t xml:space="preserve"> </w:t>
            </w:r>
            <w:proofErr w:type="spellStart"/>
            <w:r>
              <w:rPr>
                <w:rFonts w:eastAsia="等线"/>
              </w:rPr>
              <w:t>RSRP</w:t>
            </w:r>
            <w:proofErr w:type="spellEnd"/>
            <w:r>
              <w:rPr>
                <w:rFonts w:eastAsia="等线"/>
              </w:rPr>
              <w:t>-like measurement</w:t>
            </w:r>
          </w:p>
          <w:p w14:paraId="74401BE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Note: Device localization based on Reader ID as specified in </w:t>
            </w:r>
            <w:proofErr w:type="spellStart"/>
            <w:r>
              <w:rPr>
                <w:rFonts w:eastAsia="等线"/>
              </w:rPr>
              <w:t>Rel</w:t>
            </w:r>
            <w:proofErr w:type="spellEnd"/>
            <w:r>
              <w:rPr>
                <w:rFonts w:eastAsia="等线"/>
              </w:rPr>
              <w:t xml:space="preserve">-19 can be supported for active device(s) in </w:t>
            </w:r>
            <w:proofErr w:type="spellStart"/>
            <w:r>
              <w:rPr>
                <w:rFonts w:eastAsia="等线"/>
              </w:rPr>
              <w:t>Rel</w:t>
            </w:r>
            <w:proofErr w:type="spellEnd"/>
            <w:r>
              <w:rPr>
                <w:rFonts w:eastAsia="等线"/>
              </w:rPr>
              <w:t>-20 with no additional work.</w:t>
            </w:r>
          </w:p>
          <w:p w14:paraId="5A7B130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The design of </w:t>
            </w:r>
            <w:proofErr w:type="spellStart"/>
            <w:r>
              <w:rPr>
                <w:rFonts w:eastAsia="等线"/>
              </w:rPr>
              <w:t>D2R</w:t>
            </w:r>
            <w:proofErr w:type="spellEnd"/>
            <w:r>
              <w:rPr>
                <w:rFonts w:eastAsia="等线"/>
              </w:rPr>
              <w:t xml:space="preserve"> signal(s)/channel(s) for active devices is not impacted by the identification of the </w:t>
            </w:r>
            <w:proofErr w:type="spellStart"/>
            <w:r>
              <w:rPr>
                <w:rFonts w:eastAsia="等线"/>
              </w:rPr>
              <w:t>D2R</w:t>
            </w:r>
            <w:proofErr w:type="spellEnd"/>
            <w:r>
              <w:rPr>
                <w:rFonts w:eastAsia="等线"/>
              </w:rPr>
              <w:t xml:space="preserve"> </w:t>
            </w:r>
            <w:proofErr w:type="spellStart"/>
            <w:r>
              <w:rPr>
                <w:rFonts w:eastAsia="等线"/>
              </w:rPr>
              <w:t>RSRP</w:t>
            </w:r>
            <w:proofErr w:type="spellEnd"/>
            <w:r>
              <w:rPr>
                <w:rFonts w:eastAsia="等线"/>
              </w:rPr>
              <w:t>-like measurement</w:t>
            </w:r>
          </w:p>
          <w:p w14:paraId="3E96EB7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This objective does not include the study of dedicated Device procedures for Device localization</w:t>
            </w:r>
          </w:p>
          <w:p w14:paraId="3ED3CC8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The objective assumes no dedicated positioning architecture will be specified in </w:t>
            </w:r>
            <w:proofErr w:type="spellStart"/>
            <w:r>
              <w:rPr>
                <w:rFonts w:eastAsia="等线"/>
              </w:rPr>
              <w:t>Rel</w:t>
            </w:r>
            <w:proofErr w:type="spellEnd"/>
            <w:r>
              <w:rPr>
                <w:rFonts w:eastAsia="等线"/>
              </w:rPr>
              <w:t>-20</w:t>
            </w:r>
          </w:p>
          <w:p w14:paraId="5E596B5F"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The objective assumes no specification of inter-Reader coordination for Device localization in </w:t>
            </w:r>
            <w:proofErr w:type="spellStart"/>
            <w:r>
              <w:rPr>
                <w:rFonts w:eastAsia="等线"/>
              </w:rPr>
              <w:t>Rel</w:t>
            </w:r>
            <w:proofErr w:type="spellEnd"/>
            <w:r>
              <w:rPr>
                <w:rFonts w:eastAsia="等线"/>
              </w:rPr>
              <w:t>-20</w:t>
            </w:r>
          </w:p>
          <w:p w14:paraId="2778F4A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This objective will start at </w:t>
            </w:r>
            <w:proofErr w:type="spellStart"/>
            <w:r>
              <w:rPr>
                <w:rFonts w:eastAsia="等线"/>
              </w:rPr>
              <w:t>RAN1#124</w:t>
            </w:r>
            <w:proofErr w:type="spellEnd"/>
          </w:p>
        </w:tc>
      </w:tr>
    </w:tbl>
    <w:p w14:paraId="14A40EFF" w14:textId="41233150" w:rsidR="00B074C9" w:rsidRPr="00DC11E0" w:rsidRDefault="00A13B5A">
      <w:pPr>
        <w:snapToGrid w:val="0"/>
        <w:spacing w:before="120"/>
        <w:jc w:val="both"/>
        <w:rPr>
          <w:rFonts w:eastAsia="等线"/>
          <w:lang w:val="en-US" w:eastAsia="zh-CN"/>
        </w:rPr>
      </w:pPr>
      <w:r w:rsidRPr="00DC11E0">
        <w:rPr>
          <w:rFonts w:hint="eastAsia"/>
          <w:lang w:val="en-US" w:eastAsia="zh-CN"/>
        </w:rPr>
        <w:lastRenderedPageBreak/>
        <w:t xml:space="preserve">In this contribution, we discuss the </w:t>
      </w:r>
      <w:r w:rsidRPr="00DC11E0">
        <w:rPr>
          <w:rFonts w:eastAsia="等线"/>
        </w:rPr>
        <w:t xml:space="preserve">necessary and feasible changes to the </w:t>
      </w:r>
      <w:proofErr w:type="spellStart"/>
      <w:r w:rsidRPr="00DC11E0">
        <w:rPr>
          <w:rFonts w:eastAsia="等线"/>
        </w:rPr>
        <w:t>Rel</w:t>
      </w:r>
      <w:proofErr w:type="spellEnd"/>
      <w:r w:rsidRPr="00DC11E0">
        <w:rPr>
          <w:rFonts w:eastAsia="等线"/>
        </w:rPr>
        <w:t>-19 A-IoT specifications</w:t>
      </w:r>
      <w:r w:rsidR="00DC11E0" w:rsidRPr="00DC11E0">
        <w:rPr>
          <w:rFonts w:eastAsia="等线"/>
        </w:rPr>
        <w:t>, including necessary and feasible change to procedures such as for initial frequency acquisition and broadcast information acquisition, random access, DO-A, and power control</w:t>
      </w:r>
      <w:r w:rsidR="00EE7E05" w:rsidRPr="00DC11E0">
        <w:rPr>
          <w:rFonts w:eastAsia="等线"/>
        </w:rPr>
        <w:t xml:space="preserve"> </w:t>
      </w:r>
      <w:r w:rsidRPr="00DC11E0">
        <w:rPr>
          <w:rFonts w:eastAsia="等线"/>
        </w:rPr>
        <w:t xml:space="preserve">to support A-IoT </w:t>
      </w:r>
      <w:r w:rsidR="00992C58" w:rsidRPr="00DC11E0">
        <w:rPr>
          <w:rFonts w:eastAsia="等线"/>
        </w:rPr>
        <w:t xml:space="preserve">active devices </w:t>
      </w:r>
      <w:r w:rsidRPr="00DC11E0">
        <w:rPr>
          <w:rFonts w:eastAsia="等线"/>
        </w:rPr>
        <w:t>in outdoor scenarios</w:t>
      </w:r>
      <w:r w:rsidR="00992C58" w:rsidRPr="00DC11E0">
        <w:rPr>
          <w:rFonts w:eastAsia="等线"/>
          <w:lang w:val="en-US" w:eastAsia="zh-CN"/>
        </w:rPr>
        <w:t>.</w:t>
      </w:r>
    </w:p>
    <w:p w14:paraId="75540DA5" w14:textId="77777777" w:rsidR="00E84C25" w:rsidRDefault="00E84C25" w:rsidP="00E84C25">
      <w:pPr>
        <w:spacing w:before="120"/>
        <w:rPr>
          <w:b/>
          <w:sz w:val="21"/>
          <w:szCs w:val="21"/>
          <w:lang w:val="en-US" w:eastAsia="zh-CN"/>
        </w:rPr>
      </w:pPr>
    </w:p>
    <w:p w14:paraId="349C7445" w14:textId="7BF6A74F" w:rsidR="00E84C25" w:rsidRDefault="0061765A" w:rsidP="00E84C25">
      <w:pPr>
        <w:keepNext/>
        <w:keepLines/>
        <w:numPr>
          <w:ilvl w:val="0"/>
          <w:numId w:val="21"/>
        </w:numPr>
        <w:pBdr>
          <w:top w:val="single" w:sz="12" w:space="3" w:color="auto"/>
        </w:pBdr>
        <w:overflowPunct w:val="0"/>
        <w:autoSpaceDE w:val="0"/>
        <w:autoSpaceDN w:val="0"/>
        <w:adjustRightInd w:val="0"/>
        <w:spacing w:before="120"/>
        <w:outlineLvl w:val="0"/>
        <w:rPr>
          <w:rFonts w:ascii="Arial" w:hAnsi="Arial"/>
          <w:sz w:val="36"/>
          <w:lang w:val="en-US"/>
        </w:rPr>
      </w:pPr>
      <w:r>
        <w:rPr>
          <w:rFonts w:ascii="Arial" w:hAnsi="Arial"/>
          <w:sz w:val="36"/>
          <w:lang w:val="en-US" w:eastAsia="zh-CN"/>
        </w:rPr>
        <w:t>I</w:t>
      </w:r>
      <w:r w:rsidRPr="0061765A">
        <w:rPr>
          <w:rFonts w:ascii="Arial" w:hAnsi="Arial"/>
          <w:sz w:val="36"/>
          <w:lang w:val="en-US" w:eastAsia="zh-CN"/>
        </w:rPr>
        <w:t>nitial frequency acquisition</w:t>
      </w:r>
    </w:p>
    <w:p w14:paraId="484FF066" w14:textId="27BD29FC" w:rsidR="000E6B4A" w:rsidRPr="000E6B4A" w:rsidRDefault="000E6B4A" w:rsidP="000E6B4A">
      <w:pPr>
        <w:spacing w:before="120"/>
        <w:rPr>
          <w:rFonts w:eastAsia="等线"/>
        </w:rPr>
      </w:pPr>
      <w:r w:rsidRPr="000E6B4A">
        <w:rPr>
          <w:rFonts w:eastAsia="等线"/>
        </w:rPr>
        <w:t xml:space="preserve">For active devices, such as device </w:t>
      </w:r>
      <w:proofErr w:type="spellStart"/>
      <w:r w:rsidRPr="000E6B4A">
        <w:rPr>
          <w:rFonts w:eastAsia="等线"/>
        </w:rPr>
        <w:t>2b</w:t>
      </w:r>
      <w:proofErr w:type="spellEnd"/>
      <w:r w:rsidRPr="000E6B4A">
        <w:rPr>
          <w:rFonts w:eastAsia="等线"/>
        </w:rPr>
        <w:t xml:space="preserve"> and device c, there is no prior knowledge of the system’s frequency or timing </w:t>
      </w:r>
      <w:r w:rsidR="009C1DE9">
        <w:rPr>
          <w:rFonts w:eastAsia="等线"/>
        </w:rPr>
        <w:t>information</w:t>
      </w:r>
      <w:r w:rsidRPr="000E6B4A">
        <w:rPr>
          <w:rFonts w:eastAsia="等线"/>
        </w:rPr>
        <w:t xml:space="preserve">, nor of the </w:t>
      </w:r>
      <w:proofErr w:type="spellStart"/>
      <w:r w:rsidRPr="000E6B4A">
        <w:rPr>
          <w:rFonts w:eastAsia="等线"/>
        </w:rPr>
        <w:t>D2R</w:t>
      </w:r>
      <w:proofErr w:type="spellEnd"/>
      <w:r w:rsidRPr="000E6B4A">
        <w:rPr>
          <w:rFonts w:eastAsia="等线"/>
        </w:rPr>
        <w:t xml:space="preserve"> transmission schedule. As a result, it is essential to implement an initial frequency acquisition procedure, particularly from the perspective of </w:t>
      </w:r>
      <w:r>
        <w:rPr>
          <w:rFonts w:eastAsia="等线"/>
        </w:rPr>
        <w:t>transmitting</w:t>
      </w:r>
      <w:r w:rsidRPr="000E6B4A">
        <w:rPr>
          <w:rFonts w:eastAsia="等线"/>
        </w:rPr>
        <w:t xml:space="preserve"> the first DO-A message. For ambient IoT devices with limited capabilities, it is preferable to avoid a “cell search” type procedure, where the device continuously scans for timing and frequency points to identify periodic or multiple periodic signals. This is especially relevant when using correlation-based</w:t>
      </w:r>
      <w:r>
        <w:rPr>
          <w:rFonts w:eastAsia="等线"/>
        </w:rPr>
        <w:t xml:space="preserve"> or coherent-based</w:t>
      </w:r>
      <w:r w:rsidRPr="000E6B4A">
        <w:rPr>
          <w:rFonts w:eastAsia="等线"/>
        </w:rPr>
        <w:t xml:space="preserve"> detection methods, as such procedures can significantly increase device complexity and power consumption.</w:t>
      </w:r>
    </w:p>
    <w:p w14:paraId="281CA7F7" w14:textId="2A9E593F" w:rsidR="000E6B4A" w:rsidRDefault="000E6B4A" w:rsidP="000E6B4A">
      <w:pPr>
        <w:pStyle w:val="a3"/>
        <w:spacing w:before="120"/>
      </w:pPr>
      <w:bookmarkStart w:id="7" w:name="_Ref213417027"/>
      <w:r>
        <w:t xml:space="preserve">Observation </w:t>
      </w:r>
      <w:r>
        <w:fldChar w:fldCharType="begin"/>
      </w:r>
      <w:r>
        <w:instrText xml:space="preserve"> SEQ Observation \* ARABIC </w:instrText>
      </w:r>
      <w:r>
        <w:fldChar w:fldCharType="separate"/>
      </w:r>
      <w:r w:rsidR="00A7492C">
        <w:rPr>
          <w:noProof/>
        </w:rPr>
        <w:t>1</w:t>
      </w:r>
      <w:r>
        <w:fldChar w:fldCharType="end"/>
      </w:r>
      <w:r>
        <w:t xml:space="preserve">: </w:t>
      </w:r>
      <w:r w:rsidRPr="000E6B4A">
        <w:t>Implementing a cell search-like procedure would lead to increased complexity for ambient IoT devices</w:t>
      </w:r>
      <w:r>
        <w:t>.</w:t>
      </w:r>
      <w:bookmarkEnd w:id="7"/>
    </w:p>
    <w:p w14:paraId="32F6F06D" w14:textId="321F7B28" w:rsidR="000E6B4A" w:rsidRPr="002956DA" w:rsidRDefault="000E6B4A" w:rsidP="000E6B4A">
      <w:pPr>
        <w:pStyle w:val="a3"/>
        <w:spacing w:before="120"/>
        <w:rPr>
          <w:rFonts w:hint="eastAsia"/>
          <w:bCs w:val="0"/>
          <w:lang w:val="en-US" w:eastAsia="zh-CN"/>
        </w:rPr>
      </w:pPr>
      <w:bookmarkStart w:id="8" w:name="_Ref213417036"/>
      <w:r>
        <w:t xml:space="preserve">Proposal </w:t>
      </w:r>
      <w:r>
        <w:fldChar w:fldCharType="begin"/>
      </w:r>
      <w:r>
        <w:instrText xml:space="preserve"> SEQ Proposal \* ARABIC </w:instrText>
      </w:r>
      <w:r>
        <w:fldChar w:fldCharType="separate"/>
      </w:r>
      <w:r w:rsidR="00A7492C">
        <w:rPr>
          <w:noProof/>
        </w:rPr>
        <w:t>1</w:t>
      </w:r>
      <w:r>
        <w:fldChar w:fldCharType="end"/>
      </w:r>
      <w:r>
        <w:t xml:space="preserve">: Avoid a </w:t>
      </w:r>
      <w:r>
        <w:t>cell search</w:t>
      </w:r>
      <w:r>
        <w:t>-</w:t>
      </w:r>
      <w:r>
        <w:t>like procedure</w:t>
      </w:r>
      <w:r>
        <w:t xml:space="preserve"> </w:t>
      </w:r>
      <w:r>
        <w:rPr>
          <w:rFonts w:eastAsia="等线"/>
        </w:rPr>
        <w:t>that require</w:t>
      </w:r>
      <w:r>
        <w:rPr>
          <w:rFonts w:eastAsia="等线"/>
        </w:rPr>
        <w:t>s</w:t>
      </w:r>
      <w:r>
        <w:rPr>
          <w:rFonts w:eastAsia="等线"/>
        </w:rPr>
        <w:t xml:space="preserve"> searching for both timing and frequency points</w:t>
      </w:r>
      <w:bookmarkEnd w:id="8"/>
    </w:p>
    <w:p w14:paraId="6480E283" w14:textId="77777777" w:rsidR="00A940CB" w:rsidRDefault="00A940CB" w:rsidP="00A940CB">
      <w:pPr>
        <w:spacing w:before="120"/>
        <w:rPr>
          <w:rFonts w:hint="eastAsia"/>
          <w:b/>
          <w:sz w:val="21"/>
          <w:szCs w:val="21"/>
          <w:lang w:val="en-US" w:eastAsia="zh-CN"/>
        </w:rPr>
      </w:pPr>
    </w:p>
    <w:p w14:paraId="3F7EAA56" w14:textId="254C9F43" w:rsidR="00A940CB" w:rsidRDefault="00A940CB" w:rsidP="00A940CB">
      <w:pPr>
        <w:keepNext/>
        <w:keepLines/>
        <w:numPr>
          <w:ilvl w:val="0"/>
          <w:numId w:val="21"/>
        </w:numPr>
        <w:pBdr>
          <w:top w:val="single" w:sz="12" w:space="3" w:color="auto"/>
        </w:pBdr>
        <w:overflowPunct w:val="0"/>
        <w:autoSpaceDE w:val="0"/>
        <w:autoSpaceDN w:val="0"/>
        <w:adjustRightInd w:val="0"/>
        <w:spacing w:before="120"/>
        <w:outlineLvl w:val="0"/>
        <w:rPr>
          <w:rFonts w:ascii="Arial" w:hAnsi="Arial"/>
          <w:sz w:val="36"/>
          <w:lang w:val="en-US"/>
        </w:rPr>
      </w:pPr>
      <w:r>
        <w:rPr>
          <w:rFonts w:ascii="Arial" w:hAnsi="Arial"/>
          <w:sz w:val="36"/>
          <w:lang w:val="en-US" w:eastAsia="zh-CN"/>
        </w:rPr>
        <w:t>B</w:t>
      </w:r>
      <w:r w:rsidRPr="00A940CB">
        <w:rPr>
          <w:rFonts w:ascii="Arial" w:hAnsi="Arial"/>
          <w:sz w:val="36"/>
          <w:lang w:val="en-US" w:eastAsia="zh-CN"/>
        </w:rPr>
        <w:t>roadcast information acquisition</w:t>
      </w:r>
      <w:r w:rsidR="007B32BB">
        <w:rPr>
          <w:rFonts w:ascii="Arial" w:hAnsi="Arial"/>
          <w:sz w:val="36"/>
          <w:lang w:val="en-US" w:eastAsia="zh-CN"/>
        </w:rPr>
        <w:t xml:space="preserve"> and </w:t>
      </w:r>
      <w:r w:rsidR="007B32BB" w:rsidRPr="007B32BB">
        <w:rPr>
          <w:rFonts w:ascii="Arial" w:hAnsi="Arial"/>
          <w:sz w:val="36"/>
          <w:lang w:val="en-US" w:eastAsia="zh-CN"/>
        </w:rPr>
        <w:t>random access</w:t>
      </w:r>
    </w:p>
    <w:p w14:paraId="5909C08B" w14:textId="77777777" w:rsidR="009A6999" w:rsidRPr="009A6999" w:rsidRDefault="009A6999" w:rsidP="009A6999">
      <w:pPr>
        <w:pStyle w:val="a3"/>
        <w:spacing w:before="120"/>
        <w:rPr>
          <w:rFonts w:eastAsia="宋体"/>
          <w:b w:val="0"/>
          <w:lang w:val="en-US" w:eastAsia="zh-CN"/>
        </w:rPr>
      </w:pPr>
      <w:r w:rsidRPr="009A6999">
        <w:rPr>
          <w:rFonts w:eastAsia="宋体"/>
          <w:b w:val="0"/>
          <w:lang w:val="en-US" w:eastAsia="zh-CN"/>
        </w:rPr>
        <w:t xml:space="preserve">Once the device has successfully acquired the necessary frequency and timing information, the next step is for the device to obtain details about the </w:t>
      </w:r>
      <w:proofErr w:type="spellStart"/>
      <w:r w:rsidRPr="009A6999">
        <w:rPr>
          <w:rFonts w:eastAsia="宋体"/>
          <w:b w:val="0"/>
          <w:lang w:val="en-US" w:eastAsia="zh-CN"/>
        </w:rPr>
        <w:t>D2R</w:t>
      </w:r>
      <w:proofErr w:type="spellEnd"/>
      <w:r w:rsidRPr="009A6999">
        <w:rPr>
          <w:rFonts w:eastAsia="宋体"/>
          <w:b w:val="0"/>
          <w:lang w:val="en-US" w:eastAsia="zh-CN"/>
        </w:rPr>
        <w:t xml:space="preserve"> random access or </w:t>
      </w:r>
      <w:proofErr w:type="spellStart"/>
      <w:r w:rsidRPr="009A6999">
        <w:rPr>
          <w:rFonts w:eastAsia="宋体"/>
          <w:b w:val="0"/>
          <w:lang w:val="en-US" w:eastAsia="zh-CN"/>
        </w:rPr>
        <w:t>Msg1</w:t>
      </w:r>
      <w:proofErr w:type="spellEnd"/>
      <w:r w:rsidRPr="009A6999">
        <w:rPr>
          <w:rFonts w:eastAsia="宋体"/>
          <w:b w:val="0"/>
          <w:lang w:val="en-US" w:eastAsia="zh-CN"/>
        </w:rPr>
        <w:t xml:space="preserve"> resource allocation, such as the specific time and/or frequency resources available for transmission. To facilitate this process, a random access-like procedure is required for the DO-A operation. In order for the device to receive this essential resource information, it is necessary to transmit broadcast information that clearly specifies the relevant time and frequency resources for </w:t>
      </w:r>
      <w:proofErr w:type="spellStart"/>
      <w:r w:rsidRPr="009A6999">
        <w:rPr>
          <w:rFonts w:eastAsia="宋体"/>
          <w:b w:val="0"/>
          <w:lang w:val="en-US" w:eastAsia="zh-CN"/>
        </w:rPr>
        <w:t>D2R</w:t>
      </w:r>
      <w:proofErr w:type="spellEnd"/>
      <w:r w:rsidRPr="009A6999">
        <w:rPr>
          <w:rFonts w:eastAsia="宋体"/>
          <w:b w:val="0"/>
          <w:lang w:val="en-US" w:eastAsia="zh-CN"/>
        </w:rPr>
        <w:t xml:space="preserve"> random access or </w:t>
      </w:r>
      <w:proofErr w:type="spellStart"/>
      <w:r w:rsidRPr="009A6999">
        <w:rPr>
          <w:rFonts w:eastAsia="宋体"/>
          <w:b w:val="0"/>
          <w:lang w:val="en-US" w:eastAsia="zh-CN"/>
        </w:rPr>
        <w:t>Msg1</w:t>
      </w:r>
      <w:proofErr w:type="spellEnd"/>
      <w:r w:rsidRPr="009A6999">
        <w:rPr>
          <w:rFonts w:eastAsia="宋体"/>
          <w:b w:val="0"/>
          <w:lang w:val="en-US" w:eastAsia="zh-CN"/>
        </w:rPr>
        <w:t xml:space="preserve"> transmission.</w:t>
      </w:r>
    </w:p>
    <w:p w14:paraId="662C8051" w14:textId="77777777" w:rsidR="009A6999" w:rsidRPr="009A6999" w:rsidRDefault="009A6999" w:rsidP="009A6999">
      <w:pPr>
        <w:pStyle w:val="a3"/>
        <w:spacing w:before="120"/>
        <w:rPr>
          <w:rFonts w:eastAsia="宋体"/>
          <w:b w:val="0"/>
          <w:lang w:val="en-US" w:eastAsia="zh-CN"/>
        </w:rPr>
      </w:pPr>
    </w:p>
    <w:p w14:paraId="1BABC3F2" w14:textId="77777777" w:rsidR="009A6999" w:rsidRDefault="009A6999" w:rsidP="009A6999">
      <w:pPr>
        <w:pStyle w:val="a3"/>
        <w:spacing w:before="120"/>
        <w:rPr>
          <w:rFonts w:eastAsia="宋体"/>
          <w:b w:val="0"/>
          <w:lang w:val="en-US" w:eastAsia="zh-CN"/>
        </w:rPr>
      </w:pPr>
      <w:r w:rsidRPr="009A6999">
        <w:rPr>
          <w:rFonts w:eastAsia="宋体"/>
          <w:b w:val="0"/>
          <w:lang w:val="en-US" w:eastAsia="zh-CN"/>
        </w:rPr>
        <w:lastRenderedPageBreak/>
        <w:t>Ideally, this broadcast information should be made available to the device immediately following the initial frequency acquisition. By ensuring that the broadcast information is received promptly after synchronization, the device can efficiently proceed with the random access procedure without unnecessary delay or additional searching.</w:t>
      </w:r>
    </w:p>
    <w:p w14:paraId="5FB54394" w14:textId="0F274BC7" w:rsidR="009C1DE9" w:rsidRDefault="009C1DE9" w:rsidP="009A6999">
      <w:pPr>
        <w:pStyle w:val="a3"/>
        <w:spacing w:before="120"/>
        <w:rPr>
          <w:bCs w:val="0"/>
          <w:lang w:val="en-US" w:eastAsia="zh-CN"/>
        </w:rPr>
      </w:pPr>
      <w:bookmarkStart w:id="9" w:name="_Ref213417040"/>
      <w:r>
        <w:t xml:space="preserve">Proposal </w:t>
      </w:r>
      <w:r>
        <w:fldChar w:fldCharType="begin"/>
      </w:r>
      <w:r>
        <w:instrText xml:space="preserve"> SEQ Proposal \* ARABIC </w:instrText>
      </w:r>
      <w:r>
        <w:fldChar w:fldCharType="separate"/>
      </w:r>
      <w:r w:rsidR="00A7492C">
        <w:rPr>
          <w:noProof/>
        </w:rPr>
        <w:t>2</w:t>
      </w:r>
      <w:r>
        <w:fldChar w:fldCharType="end"/>
      </w:r>
      <w:r>
        <w:t xml:space="preserve">: The broadcast information </w:t>
      </w:r>
      <w:r>
        <w:rPr>
          <w:bCs w:val="0"/>
          <w:lang w:val="en-US" w:eastAsia="zh-CN"/>
        </w:rPr>
        <w:t xml:space="preserve">is </w:t>
      </w:r>
      <w:r>
        <w:rPr>
          <w:bCs w:val="0"/>
          <w:lang w:val="en-US" w:eastAsia="zh-CN"/>
        </w:rPr>
        <w:t>expected</w:t>
      </w:r>
      <w:r>
        <w:rPr>
          <w:bCs w:val="0"/>
          <w:lang w:val="en-US" w:eastAsia="zh-CN"/>
        </w:rPr>
        <w:t xml:space="preserve"> to be received right after the initial frequency acquisition</w:t>
      </w:r>
      <w:bookmarkEnd w:id="9"/>
    </w:p>
    <w:p w14:paraId="6E8E1A47" w14:textId="69E9D553" w:rsidR="009C1DE9" w:rsidRPr="009C1DE9" w:rsidRDefault="009C1DE9" w:rsidP="009C1DE9">
      <w:pPr>
        <w:spacing w:before="120"/>
        <w:rPr>
          <w:rFonts w:ascii="Times" w:hAnsi="Times" w:cs="Times" w:hint="eastAsia"/>
        </w:rPr>
      </w:pPr>
      <w:r>
        <w:t xml:space="preserve">In the last </w:t>
      </w:r>
      <w:proofErr w:type="spellStart"/>
      <w:r>
        <w:t>R122bis</w:t>
      </w:r>
      <w:proofErr w:type="spellEnd"/>
      <w:r>
        <w:t xml:space="preserve"> meeting, </w:t>
      </w:r>
      <w:r>
        <w:rPr>
          <w:rFonts w:ascii="Times" w:hAnsi="Times" w:cs="Times"/>
        </w:rPr>
        <w:t xml:space="preserve">the following agreement is </w:t>
      </w:r>
      <w:r>
        <w:rPr>
          <w:rFonts w:ascii="Times" w:hAnsi="Times" w:cs="Times"/>
        </w:rPr>
        <w:t>made</w:t>
      </w:r>
      <w:r>
        <w:rPr>
          <w:rFonts w:ascii="Times" w:hAnsi="Times" w:cs="Times"/>
        </w:rPr>
        <w:t>:</w:t>
      </w:r>
    </w:p>
    <w:tbl>
      <w:tblPr>
        <w:tblStyle w:val="af0"/>
        <w:tblW w:w="0" w:type="auto"/>
        <w:tblLook w:val="04A0" w:firstRow="1" w:lastRow="0" w:firstColumn="1" w:lastColumn="0" w:noHBand="0" w:noVBand="1"/>
      </w:tblPr>
      <w:tblGrid>
        <w:gridCol w:w="9855"/>
      </w:tblGrid>
      <w:tr w:rsidR="009C1DE9" w14:paraId="43A42E52" w14:textId="77777777" w:rsidTr="009C1DE9">
        <w:tc>
          <w:tcPr>
            <w:tcW w:w="9855" w:type="dxa"/>
          </w:tcPr>
          <w:p w14:paraId="0276B6D5" w14:textId="77777777" w:rsidR="009C1DE9" w:rsidRPr="009C1DE9" w:rsidRDefault="009C1DE9" w:rsidP="009C1DE9">
            <w:pPr>
              <w:spacing w:beforeLines="0" w:before="120" w:line="240" w:lineRule="auto"/>
              <w:ind w:left="540"/>
              <w:rPr>
                <w:rFonts w:ascii="Times" w:hAnsi="Times" w:cs="Times"/>
                <w:lang w:val="en-US" w:eastAsia="zh-CN"/>
              </w:rPr>
            </w:pPr>
            <w:r w:rsidRPr="009C1DE9">
              <w:rPr>
                <w:rFonts w:ascii="Times" w:hAnsi="Times" w:cs="Times"/>
                <w:b/>
                <w:bCs/>
                <w:highlight w:val="green"/>
                <w:lang w:val="en-US" w:eastAsia="zh-CN"/>
              </w:rPr>
              <w:t>Agreement</w:t>
            </w:r>
          </w:p>
          <w:p w14:paraId="1F50B98F" w14:textId="77777777" w:rsidR="009C1DE9" w:rsidRPr="009C1DE9" w:rsidRDefault="009C1DE9" w:rsidP="009C1DE9">
            <w:pPr>
              <w:spacing w:beforeLines="0" w:before="0" w:line="240" w:lineRule="auto"/>
              <w:ind w:left="540"/>
              <w:rPr>
                <w:rFonts w:ascii="Times" w:hAnsi="Times" w:cs="Times"/>
                <w:lang w:eastAsia="zh-CN"/>
              </w:rPr>
            </w:pPr>
            <w:r w:rsidRPr="009C1DE9">
              <w:rPr>
                <w:rFonts w:ascii="Times" w:hAnsi="Times" w:cs="Times"/>
                <w:lang w:eastAsia="zh-CN"/>
              </w:rPr>
              <w:t xml:space="preserve">For the content of the first </w:t>
            </w:r>
            <w:proofErr w:type="spellStart"/>
            <w:r w:rsidRPr="009C1DE9">
              <w:rPr>
                <w:rFonts w:ascii="Times" w:hAnsi="Times" w:cs="Times"/>
                <w:lang w:eastAsia="zh-CN"/>
              </w:rPr>
              <w:t>D2R</w:t>
            </w:r>
            <w:proofErr w:type="spellEnd"/>
            <w:r w:rsidRPr="009C1DE9">
              <w:rPr>
                <w:rFonts w:ascii="Times" w:hAnsi="Times" w:cs="Times"/>
                <w:lang w:eastAsia="zh-CN"/>
              </w:rPr>
              <w:t xml:space="preserve"> transmission for DO-A for Device </w:t>
            </w:r>
            <w:proofErr w:type="spellStart"/>
            <w:r w:rsidRPr="009C1DE9">
              <w:rPr>
                <w:rFonts w:ascii="Times" w:hAnsi="Times" w:cs="Times"/>
                <w:lang w:eastAsia="zh-CN"/>
              </w:rPr>
              <w:t>2b</w:t>
            </w:r>
            <w:proofErr w:type="spellEnd"/>
            <w:r w:rsidRPr="009C1DE9">
              <w:rPr>
                <w:rFonts w:ascii="Times" w:hAnsi="Times" w:cs="Times"/>
                <w:lang w:eastAsia="zh-CN"/>
              </w:rPr>
              <w:t xml:space="preserve"> and for Device C, study the following options:</w:t>
            </w:r>
          </w:p>
          <w:p w14:paraId="76EB74EC" w14:textId="77777777" w:rsidR="009C1DE9" w:rsidRPr="009C1DE9" w:rsidRDefault="009C1DE9" w:rsidP="009C1DE9">
            <w:pPr>
              <w:numPr>
                <w:ilvl w:val="0"/>
                <w:numId w:val="23"/>
              </w:numPr>
              <w:spacing w:beforeLines="0" w:before="0" w:line="240" w:lineRule="auto"/>
              <w:textAlignment w:val="center"/>
              <w:rPr>
                <w:rFonts w:ascii="Calibri" w:hAnsi="Calibri" w:cs="Calibri"/>
                <w:lang w:eastAsia="zh-CN"/>
              </w:rPr>
            </w:pPr>
            <w:r w:rsidRPr="009C1DE9">
              <w:rPr>
                <w:rFonts w:ascii="Times" w:hAnsi="Times" w:cs="Times"/>
                <w:lang w:eastAsia="zh-CN"/>
              </w:rPr>
              <w:t xml:space="preserve">Option 1: </w:t>
            </w:r>
            <w:proofErr w:type="spellStart"/>
            <w:r w:rsidRPr="009C1DE9">
              <w:rPr>
                <w:rFonts w:ascii="Times" w:hAnsi="Times" w:cs="Times"/>
                <w:lang w:eastAsia="zh-CN"/>
              </w:rPr>
              <w:t>Msg1</w:t>
            </w:r>
            <w:proofErr w:type="spellEnd"/>
            <w:r w:rsidRPr="009C1DE9">
              <w:rPr>
                <w:rFonts w:ascii="Times" w:hAnsi="Times" w:cs="Times"/>
                <w:lang w:eastAsia="zh-CN"/>
              </w:rPr>
              <w:t>-like content</w:t>
            </w:r>
          </w:p>
          <w:p w14:paraId="41F167A3" w14:textId="77777777" w:rsidR="009C1DE9" w:rsidRPr="009C1DE9" w:rsidRDefault="009C1DE9" w:rsidP="009C1DE9">
            <w:pPr>
              <w:numPr>
                <w:ilvl w:val="0"/>
                <w:numId w:val="23"/>
              </w:numPr>
              <w:spacing w:beforeLines="0" w:before="0" w:line="240" w:lineRule="auto"/>
              <w:textAlignment w:val="center"/>
              <w:rPr>
                <w:rFonts w:ascii="Calibri" w:hAnsi="Calibri" w:cs="Calibri"/>
                <w:lang w:eastAsia="zh-CN"/>
              </w:rPr>
            </w:pPr>
            <w:r w:rsidRPr="009C1DE9">
              <w:rPr>
                <w:rFonts w:ascii="Times" w:hAnsi="Times" w:cs="Times"/>
                <w:lang w:eastAsia="zh-CN"/>
              </w:rPr>
              <w:t>Option 2: DO-A data payload</w:t>
            </w:r>
          </w:p>
          <w:p w14:paraId="6521B340" w14:textId="77777777" w:rsidR="009C1DE9" w:rsidRPr="009C1DE9" w:rsidRDefault="009C1DE9" w:rsidP="009C1DE9">
            <w:pPr>
              <w:numPr>
                <w:ilvl w:val="1"/>
                <w:numId w:val="23"/>
              </w:numPr>
              <w:spacing w:beforeLines="0" w:before="0" w:line="240" w:lineRule="auto"/>
              <w:textAlignment w:val="center"/>
              <w:rPr>
                <w:rFonts w:ascii="Calibri" w:hAnsi="Calibri" w:cs="Calibri"/>
                <w:lang w:eastAsia="zh-CN"/>
              </w:rPr>
            </w:pPr>
            <w:r w:rsidRPr="009C1DE9">
              <w:rPr>
                <w:rFonts w:ascii="Times" w:hAnsi="Times" w:cs="Times"/>
                <w:lang w:eastAsia="zh-CN"/>
              </w:rPr>
              <w:t>FFS: with or without device ID</w:t>
            </w:r>
          </w:p>
          <w:p w14:paraId="40C0E87F" w14:textId="44BFFF10" w:rsidR="009C1DE9" w:rsidRPr="009C1DE9" w:rsidRDefault="009C1DE9" w:rsidP="00A940CB">
            <w:pPr>
              <w:numPr>
                <w:ilvl w:val="0"/>
                <w:numId w:val="23"/>
              </w:numPr>
              <w:spacing w:beforeLines="0" w:before="120" w:line="240" w:lineRule="auto"/>
              <w:textAlignment w:val="center"/>
              <w:rPr>
                <w:rFonts w:ascii="Calibri" w:hAnsi="Calibri" w:cs="Calibri"/>
                <w:lang w:eastAsia="zh-CN"/>
              </w:rPr>
            </w:pPr>
            <w:r w:rsidRPr="009C1DE9">
              <w:rPr>
                <w:rFonts w:ascii="Times" w:hAnsi="Times" w:cs="Times"/>
                <w:lang w:eastAsia="zh-CN"/>
              </w:rPr>
              <w:t>Option 3: DO-A scheduling request</w:t>
            </w:r>
          </w:p>
        </w:tc>
      </w:tr>
    </w:tbl>
    <w:p w14:paraId="6CD790F8" w14:textId="77777777" w:rsidR="009C1DE9" w:rsidRDefault="009C1DE9" w:rsidP="00A940CB">
      <w:pPr>
        <w:spacing w:before="120"/>
      </w:pPr>
    </w:p>
    <w:p w14:paraId="32AD8E19" w14:textId="291D3A54" w:rsidR="009A6999" w:rsidRDefault="009A6999" w:rsidP="009A6999">
      <w:pPr>
        <w:pStyle w:val="a3"/>
        <w:spacing w:before="120"/>
        <w:rPr>
          <w:rFonts w:eastAsia="宋体"/>
          <w:b w:val="0"/>
          <w:bCs w:val="0"/>
        </w:rPr>
      </w:pPr>
      <w:r w:rsidRPr="009A6999">
        <w:rPr>
          <w:rFonts w:eastAsia="宋体"/>
          <w:b w:val="0"/>
          <w:bCs w:val="0"/>
        </w:rPr>
        <w:t xml:space="preserve">In </w:t>
      </w:r>
      <w:proofErr w:type="spellStart"/>
      <w:r w:rsidRPr="009A6999">
        <w:rPr>
          <w:rFonts w:eastAsia="宋体"/>
          <w:b w:val="0"/>
          <w:bCs w:val="0"/>
        </w:rPr>
        <w:t>Rel</w:t>
      </w:r>
      <w:proofErr w:type="spellEnd"/>
      <w:r w:rsidRPr="009A6999">
        <w:rPr>
          <w:rFonts w:eastAsia="宋体"/>
          <w:b w:val="0"/>
          <w:bCs w:val="0"/>
        </w:rPr>
        <w:t xml:space="preserve">-19 A-IoT, there is no defined signal for uplink initial access. The random access procedure is specified using slot-ALOHA as a baseline, such as the transmission of </w:t>
      </w:r>
      <w:proofErr w:type="spellStart"/>
      <w:r w:rsidRPr="009A6999">
        <w:rPr>
          <w:rFonts w:eastAsia="宋体"/>
          <w:b w:val="0"/>
          <w:bCs w:val="0"/>
        </w:rPr>
        <w:t>Msg1</w:t>
      </w:r>
      <w:proofErr w:type="spellEnd"/>
      <w:r w:rsidRPr="009A6999">
        <w:rPr>
          <w:rFonts w:eastAsia="宋体"/>
          <w:b w:val="0"/>
          <w:bCs w:val="0"/>
        </w:rPr>
        <w:t xml:space="preserve">. However, the initial access capacity for devices in </w:t>
      </w:r>
      <w:proofErr w:type="spellStart"/>
      <w:r w:rsidRPr="009A6999">
        <w:rPr>
          <w:rFonts w:eastAsia="宋体"/>
          <w:b w:val="0"/>
          <w:bCs w:val="0"/>
        </w:rPr>
        <w:t>Rel</w:t>
      </w:r>
      <w:proofErr w:type="spellEnd"/>
      <w:r w:rsidRPr="009A6999">
        <w:rPr>
          <w:rFonts w:eastAsia="宋体"/>
          <w:b w:val="0"/>
          <w:bCs w:val="0"/>
        </w:rPr>
        <w:t>-20 A-IoT systems, particularly those targeting outdoor scenarios, is relatively limited. To address this limitation and enhance the capacity for random access, it is necessary to explore code domain multiplexing techniques. By employing code domain multiplexing, multiple devices can simultaneously access the system, thereby increasing the overall random access capacity.</w:t>
      </w:r>
    </w:p>
    <w:p w14:paraId="7B908150" w14:textId="6255010B" w:rsidR="00B57AC5" w:rsidRDefault="00B57AC5" w:rsidP="00B57AC5">
      <w:pPr>
        <w:spacing w:before="120"/>
        <w:jc w:val="center"/>
      </w:pPr>
      <w:r>
        <w:rPr>
          <w:noProof/>
        </w:rPr>
        <w:drawing>
          <wp:inline distT="0" distB="0" distL="0" distR="0" wp14:anchorId="61D88785" wp14:editId="720845CB">
            <wp:extent cx="2816414" cy="179844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0476" cy="1807427"/>
                    </a:xfrm>
                    <a:prstGeom prst="rect">
                      <a:avLst/>
                    </a:prstGeom>
                    <a:noFill/>
                  </pic:spPr>
                </pic:pic>
              </a:graphicData>
            </a:graphic>
          </wp:inline>
        </w:drawing>
      </w:r>
    </w:p>
    <w:p w14:paraId="065D153D" w14:textId="66C657CC" w:rsidR="00B57AC5" w:rsidRPr="00B57AC5" w:rsidRDefault="00B57AC5" w:rsidP="00B57AC5">
      <w:pPr>
        <w:pStyle w:val="a3"/>
        <w:spacing w:before="120"/>
        <w:jc w:val="center"/>
      </w:pPr>
      <w:r>
        <w:t>Figure</w:t>
      </w:r>
      <w:r>
        <w:noBreakHyphen/>
      </w:r>
      <w:r>
        <w:fldChar w:fldCharType="begin"/>
      </w:r>
      <w:r>
        <w:instrText xml:space="preserve"> SEQ Figure \* ARABIC \s 1 </w:instrText>
      </w:r>
      <w:r>
        <w:fldChar w:fldCharType="separate"/>
      </w:r>
      <w:r w:rsidR="00A7492C">
        <w:rPr>
          <w:noProof/>
        </w:rPr>
        <w:t>1</w:t>
      </w:r>
      <w:r>
        <w:fldChar w:fldCharType="end"/>
      </w:r>
      <w:r>
        <w:t xml:space="preserve"> DO-A procedure</w:t>
      </w:r>
    </w:p>
    <w:p w14:paraId="0E9673BE" w14:textId="77777777" w:rsidR="009A6999" w:rsidRDefault="009A6999" w:rsidP="009A6999">
      <w:pPr>
        <w:pStyle w:val="a3"/>
        <w:spacing w:before="120"/>
        <w:rPr>
          <w:rFonts w:eastAsia="宋体"/>
          <w:b w:val="0"/>
          <w:bCs w:val="0"/>
        </w:rPr>
      </w:pPr>
      <w:r w:rsidRPr="009A6999">
        <w:rPr>
          <w:rFonts w:eastAsia="宋体"/>
          <w:b w:val="0"/>
          <w:bCs w:val="0"/>
        </w:rPr>
        <w:t xml:space="preserve">To support this approach, a sequence-based NR preamble-like </w:t>
      </w:r>
      <w:proofErr w:type="spellStart"/>
      <w:r w:rsidRPr="009A6999">
        <w:rPr>
          <w:rFonts w:eastAsia="宋体"/>
          <w:b w:val="0"/>
          <w:bCs w:val="0"/>
        </w:rPr>
        <w:t>D2R</w:t>
      </w:r>
      <w:proofErr w:type="spellEnd"/>
      <w:r w:rsidRPr="009A6999">
        <w:rPr>
          <w:rFonts w:eastAsia="宋体"/>
          <w:b w:val="0"/>
          <w:bCs w:val="0"/>
        </w:rPr>
        <w:t xml:space="preserve"> DO-A request signal is required. This signal enables devices to initiate random access in a manner similar to NR preambles, facilitating efficient multiplexing and identification. An example of this procedure is illustrated in Figure 1. To reduce the complexity associated with multiplexing, it is proposed that only the sequence-based portion of the signal be transmitted during the first </w:t>
      </w:r>
      <w:proofErr w:type="spellStart"/>
      <w:r w:rsidRPr="009A6999">
        <w:rPr>
          <w:rFonts w:eastAsia="宋体"/>
          <w:b w:val="0"/>
          <w:bCs w:val="0"/>
        </w:rPr>
        <w:t>D2R</w:t>
      </w:r>
      <w:proofErr w:type="spellEnd"/>
      <w:r w:rsidRPr="009A6999">
        <w:rPr>
          <w:rFonts w:eastAsia="宋体"/>
          <w:b w:val="0"/>
          <w:bCs w:val="0"/>
        </w:rPr>
        <w:t xml:space="preserve"> transmission for DO-A. The actual DO-A data payload should be transmitted only after the random access procedure has been successfully completed. This separation ensures that the initial transmission remains simple and efficient, while the data payload is sent in a more controlled manner.</w:t>
      </w:r>
    </w:p>
    <w:p w14:paraId="3DF3971A" w14:textId="1E18F407" w:rsidR="009A6999" w:rsidRDefault="009A6999" w:rsidP="009A6999">
      <w:pPr>
        <w:pStyle w:val="a3"/>
        <w:spacing w:before="120"/>
      </w:pPr>
      <w:bookmarkStart w:id="10" w:name="_Ref213417028"/>
      <w:r>
        <w:t xml:space="preserve">Observation </w:t>
      </w:r>
      <w:r>
        <w:fldChar w:fldCharType="begin"/>
      </w:r>
      <w:r>
        <w:instrText xml:space="preserve"> SEQ Observation \* ARABIC </w:instrText>
      </w:r>
      <w:r>
        <w:fldChar w:fldCharType="separate"/>
      </w:r>
      <w:r w:rsidR="00A7492C">
        <w:rPr>
          <w:noProof/>
        </w:rPr>
        <w:t>2</w:t>
      </w:r>
      <w:r>
        <w:fldChar w:fldCharType="end"/>
      </w:r>
      <w:r>
        <w:t xml:space="preserve">: </w:t>
      </w:r>
      <w:r w:rsidRPr="009A6999">
        <w:t>Incorporating code domain multiplexing for the DO-A data payload would increase system complexity and negatively impact decoding performance.</w:t>
      </w:r>
      <w:bookmarkEnd w:id="10"/>
    </w:p>
    <w:p w14:paraId="41B1AEB5" w14:textId="7006327B" w:rsidR="009C1DE9" w:rsidRDefault="009A6999" w:rsidP="009A6999">
      <w:pPr>
        <w:pStyle w:val="a3"/>
        <w:spacing w:before="120"/>
      </w:pPr>
      <w:bookmarkStart w:id="11" w:name="_Ref213417043"/>
      <w:r>
        <w:t xml:space="preserve">Proposal </w:t>
      </w:r>
      <w:r>
        <w:fldChar w:fldCharType="begin"/>
      </w:r>
      <w:r>
        <w:instrText xml:space="preserve"> SEQ Proposal \* ARABIC </w:instrText>
      </w:r>
      <w:r>
        <w:fldChar w:fldCharType="separate"/>
      </w:r>
      <w:r w:rsidR="00A7492C">
        <w:rPr>
          <w:noProof/>
        </w:rPr>
        <w:t>3</w:t>
      </w:r>
      <w:r>
        <w:fldChar w:fldCharType="end"/>
      </w:r>
      <w:r>
        <w:t xml:space="preserve">: </w:t>
      </w:r>
      <w:r>
        <w:rPr>
          <w:rFonts w:ascii="Times" w:hAnsi="Times" w:cs="Times"/>
          <w:lang w:eastAsia="zh-CN"/>
        </w:rPr>
        <w:t>T</w:t>
      </w:r>
      <w:r>
        <w:rPr>
          <w:rFonts w:ascii="Times" w:hAnsi="Times" w:cs="Times"/>
          <w:lang w:eastAsia="zh-CN"/>
        </w:rPr>
        <w:t xml:space="preserve">he first </w:t>
      </w:r>
      <w:proofErr w:type="spellStart"/>
      <w:r>
        <w:rPr>
          <w:rFonts w:ascii="Times" w:hAnsi="Times" w:cs="Times"/>
          <w:lang w:eastAsia="zh-CN"/>
        </w:rPr>
        <w:t>D2R</w:t>
      </w:r>
      <w:proofErr w:type="spellEnd"/>
      <w:r>
        <w:rPr>
          <w:rFonts w:ascii="Times" w:hAnsi="Times" w:cs="Times"/>
          <w:lang w:eastAsia="zh-CN"/>
        </w:rPr>
        <w:t xml:space="preserve"> transmission for DO-A</w:t>
      </w:r>
      <w:r>
        <w:rPr>
          <w:rFonts w:ascii="Times" w:hAnsi="Times" w:cs="Times"/>
          <w:lang w:eastAsia="zh-CN"/>
        </w:rPr>
        <w:t>, i.e., a DO-A request signal, should include the random ID or device ID.</w:t>
      </w:r>
      <w:bookmarkEnd w:id="11"/>
    </w:p>
    <w:p w14:paraId="16158CCC" w14:textId="77777777" w:rsidR="00A940CB" w:rsidRDefault="00A940CB">
      <w:pPr>
        <w:spacing w:before="120"/>
        <w:rPr>
          <w:rFonts w:hint="eastAsia"/>
          <w:b/>
          <w:sz w:val="21"/>
          <w:szCs w:val="21"/>
          <w:lang w:val="en-US" w:eastAsia="zh-CN"/>
        </w:rPr>
      </w:pPr>
    </w:p>
    <w:p w14:paraId="4DBCBAF9" w14:textId="1CF9CDB5" w:rsidR="00B10874" w:rsidRDefault="003747A5">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sz w:val="36"/>
          <w:lang w:val="en-US" w:eastAsia="zh-CN"/>
        </w:rPr>
        <w:t>Other</w:t>
      </w:r>
      <w:r w:rsidR="00B074C9">
        <w:rPr>
          <w:rFonts w:ascii="Arial" w:hAnsi="Arial"/>
          <w:sz w:val="36"/>
          <w:lang w:val="en-US" w:eastAsia="zh-CN"/>
        </w:rPr>
        <w:t xml:space="preserve"> aspects</w:t>
      </w:r>
    </w:p>
    <w:p w14:paraId="34F63605" w14:textId="7F6E7C7D" w:rsidR="00B21066" w:rsidRPr="00B21066" w:rsidRDefault="00337EAE" w:rsidP="00B21066">
      <w:pPr>
        <w:spacing w:before="120"/>
        <w:rPr>
          <w:rFonts w:ascii="Times" w:hAnsi="Times" w:cs="Times"/>
          <w:lang w:val="en-US"/>
        </w:rPr>
      </w:pPr>
      <w:bookmarkStart w:id="12" w:name="_Ref210048792"/>
      <w:r>
        <w:rPr>
          <w:rFonts w:ascii="Times" w:hAnsi="Times" w:cs="Times"/>
          <w:lang w:val="en-US"/>
        </w:rPr>
        <w:t>It</w:t>
      </w:r>
      <w:r w:rsidR="00B21066" w:rsidRPr="00B21066">
        <w:rPr>
          <w:rFonts w:ascii="Times" w:hAnsi="Times" w:cs="Times"/>
          <w:lang w:val="en-US"/>
        </w:rPr>
        <w:t xml:space="preserve"> is essential to further discuss and clarify the specific characteristics of DO-A traffic. In particular, the transmission interval and message payload size for DO-A traffic are critical factors that are closely tied to the design of the DO-A procedure, and by extension, to the detailed physical layer design. For instance, the physical layer requirements and design </w:t>
      </w:r>
      <w:r w:rsidR="00B21066" w:rsidRPr="00B21066">
        <w:rPr>
          <w:rFonts w:ascii="Times" w:hAnsi="Times" w:cs="Times"/>
          <w:lang w:val="en-US"/>
        </w:rPr>
        <w:lastRenderedPageBreak/>
        <w:t>considerations may differ significantly between periodic DO-A transmissions and event-triggered DO-A transmissions. Furthermore, if both periodic and event-triggered DO-A traffic types are to be supported simultaneously, additional complexity may arise in the physical layer design to accommodate the differing requirements of each traffic type.</w:t>
      </w:r>
    </w:p>
    <w:p w14:paraId="3FAC696B" w14:textId="1D85F44C" w:rsidR="00B21066" w:rsidRPr="00013A5A" w:rsidRDefault="00B21066" w:rsidP="00733199">
      <w:pPr>
        <w:spacing w:before="120"/>
        <w:rPr>
          <w:rFonts w:ascii="Times" w:hAnsi="Times" w:cs="Times"/>
          <w:lang w:val="en-US"/>
        </w:rPr>
      </w:pPr>
      <w:r w:rsidRPr="00B21066">
        <w:rPr>
          <w:rFonts w:ascii="Times" w:hAnsi="Times" w:cs="Times"/>
          <w:lang w:val="en-US"/>
        </w:rPr>
        <w:t>Therefore, we recommend a comprehensive analysis of the DO-A traffic characteristics, including typical transmission intervals and payload sizes</w:t>
      </w:r>
      <w:r w:rsidR="00013A5A">
        <w:rPr>
          <w:rFonts w:ascii="Times" w:hAnsi="Times" w:cs="Times"/>
          <w:lang w:val="en-US"/>
        </w:rPr>
        <w:t xml:space="preserve"> and etc.</w:t>
      </w:r>
      <w:r w:rsidRPr="00B21066">
        <w:rPr>
          <w:rFonts w:ascii="Times" w:hAnsi="Times" w:cs="Times"/>
          <w:lang w:val="en-US"/>
        </w:rPr>
        <w:t>, to inform the development of efficient and robust physical layer solutions. This will ensure that the system can effectively support the diverse requirements of DO-A traffic in future releases.</w:t>
      </w:r>
    </w:p>
    <w:p w14:paraId="24BCCCD1" w14:textId="29DC4786" w:rsidR="00733199" w:rsidRPr="00FA1560" w:rsidRDefault="00733199" w:rsidP="00FA1560">
      <w:pPr>
        <w:pStyle w:val="a3"/>
        <w:spacing w:before="120"/>
      </w:pPr>
      <w:bookmarkStart w:id="13" w:name="_Ref210228071"/>
      <w:r>
        <w:t xml:space="preserve">Observation </w:t>
      </w:r>
      <w:r>
        <w:fldChar w:fldCharType="begin"/>
      </w:r>
      <w:r>
        <w:instrText xml:space="preserve"> SEQ Observation \* ARABIC </w:instrText>
      </w:r>
      <w:r>
        <w:fldChar w:fldCharType="separate"/>
      </w:r>
      <w:r w:rsidR="00A7492C">
        <w:rPr>
          <w:noProof/>
        </w:rPr>
        <w:t>3</w:t>
      </w:r>
      <w:r>
        <w:fldChar w:fldCharType="end"/>
      </w:r>
      <w:r>
        <w:t>: The DO-A procedure design is highly related with the DO-A traffic characteristics.</w:t>
      </w:r>
      <w:bookmarkEnd w:id="13"/>
      <w:r>
        <w:t xml:space="preserve"> </w:t>
      </w:r>
    </w:p>
    <w:p w14:paraId="23BF01CF" w14:textId="1CA76312" w:rsidR="00CD6CBD" w:rsidRPr="003747A5" w:rsidRDefault="00733199" w:rsidP="003747A5">
      <w:pPr>
        <w:pStyle w:val="a3"/>
        <w:spacing w:before="120"/>
      </w:pPr>
      <w:bookmarkStart w:id="14" w:name="_Ref210228103"/>
      <w:r>
        <w:t xml:space="preserve">Proposal </w:t>
      </w:r>
      <w:r>
        <w:fldChar w:fldCharType="begin"/>
      </w:r>
      <w:r>
        <w:instrText xml:space="preserve"> SEQ Proposal \* ARABIC </w:instrText>
      </w:r>
      <w:r>
        <w:fldChar w:fldCharType="separate"/>
      </w:r>
      <w:r w:rsidR="00A7492C">
        <w:rPr>
          <w:noProof/>
        </w:rPr>
        <w:t>4</w:t>
      </w:r>
      <w:r>
        <w:fldChar w:fldCharType="end"/>
      </w:r>
      <w:r>
        <w:t xml:space="preserve">: </w:t>
      </w:r>
      <w:bookmarkEnd w:id="12"/>
      <w:r w:rsidR="004E3CDE">
        <w:t>Support f</w:t>
      </w:r>
      <w:r w:rsidR="004E3CDE" w:rsidRPr="004E3CDE">
        <w:t xml:space="preserve">urther study </w:t>
      </w:r>
      <w:r w:rsidR="006D260B">
        <w:t xml:space="preserve">of </w:t>
      </w:r>
      <w:r w:rsidR="004E3CDE" w:rsidRPr="004E3CDE">
        <w:t xml:space="preserve">DO-A traffic </w:t>
      </w:r>
      <w:r w:rsidR="00FA1560">
        <w:t>characteristics</w:t>
      </w:r>
      <w:r w:rsidR="004E3CDE" w:rsidRPr="004E3CDE">
        <w:t>, e.g., DO-A interval, etc.</w:t>
      </w:r>
      <w:bookmarkEnd w:id="14"/>
    </w:p>
    <w:p w14:paraId="4B9BA91E" w14:textId="77777777" w:rsidR="00CD6CBD" w:rsidRDefault="00CD6CBD">
      <w:pPr>
        <w:spacing w:before="120"/>
        <w:rPr>
          <w:rFonts w:hint="eastAsia"/>
          <w:b/>
          <w:sz w:val="21"/>
          <w:szCs w:val="21"/>
          <w:lang w:val="en-US" w:eastAsia="zh-CN"/>
        </w:rPr>
      </w:pPr>
    </w:p>
    <w:p w14:paraId="20E061D4"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5B15C35A" w14:textId="04FC3007" w:rsidR="00B10874" w:rsidRDefault="00571C1C">
      <w:pPr>
        <w:spacing w:before="120"/>
        <w:rPr>
          <w:kern w:val="2"/>
          <w:sz w:val="21"/>
          <w:szCs w:val="22"/>
          <w:lang w:val="en-US" w:eastAsia="zh-CN"/>
        </w:rPr>
      </w:pPr>
      <w:r w:rsidRPr="00571C1C">
        <w:rPr>
          <w:kern w:val="2"/>
          <w:sz w:val="21"/>
          <w:szCs w:val="22"/>
          <w:lang w:val="en-US" w:eastAsia="zh-CN"/>
        </w:rPr>
        <w:t>In this contribution, the following observation and proposals are made</w:t>
      </w:r>
      <w:r>
        <w:rPr>
          <w:rFonts w:hint="eastAsia"/>
          <w:kern w:val="2"/>
          <w:sz w:val="21"/>
          <w:szCs w:val="22"/>
          <w:lang w:val="en-US" w:eastAsia="zh-CN"/>
        </w:rPr>
        <w:t>:</w:t>
      </w:r>
    </w:p>
    <w:p w14:paraId="48A85FC7" w14:textId="08F11F42" w:rsidR="0007208D" w:rsidRPr="0007208D" w:rsidRDefault="0007208D">
      <w:pPr>
        <w:spacing w:before="120"/>
        <w:rPr>
          <w:b/>
          <w:bCs/>
          <w:kern w:val="2"/>
          <w:sz w:val="21"/>
          <w:szCs w:val="22"/>
          <w:lang w:val="en-US" w:eastAsia="zh-CN"/>
        </w:rPr>
      </w:pPr>
      <w:r w:rsidRPr="0007208D">
        <w:rPr>
          <w:b/>
          <w:bCs/>
          <w:kern w:val="2"/>
          <w:sz w:val="21"/>
          <w:szCs w:val="22"/>
          <w:lang w:val="en-US" w:eastAsia="zh-CN"/>
        </w:rPr>
        <w:fldChar w:fldCharType="begin"/>
      </w:r>
      <w:r w:rsidRPr="0007208D">
        <w:rPr>
          <w:b/>
          <w:bCs/>
          <w:kern w:val="2"/>
          <w:sz w:val="21"/>
          <w:szCs w:val="22"/>
          <w:lang w:val="en-US" w:eastAsia="zh-CN"/>
        </w:rPr>
        <w:instrText xml:space="preserve"> REF _Ref213417027 \h </w:instrText>
      </w:r>
      <w:r w:rsidRPr="0007208D">
        <w:rPr>
          <w:b/>
          <w:bCs/>
          <w:kern w:val="2"/>
          <w:sz w:val="21"/>
          <w:szCs w:val="22"/>
          <w:lang w:val="en-US" w:eastAsia="zh-CN"/>
        </w:rPr>
      </w:r>
      <w:r>
        <w:rPr>
          <w:b/>
          <w:bCs/>
          <w:kern w:val="2"/>
          <w:sz w:val="21"/>
          <w:szCs w:val="22"/>
          <w:lang w:val="en-US" w:eastAsia="zh-CN"/>
        </w:rPr>
        <w:instrText xml:space="preserve"> \* MERGEFORMAT </w:instrText>
      </w:r>
      <w:r w:rsidRPr="0007208D">
        <w:rPr>
          <w:b/>
          <w:bCs/>
          <w:kern w:val="2"/>
          <w:sz w:val="21"/>
          <w:szCs w:val="22"/>
          <w:lang w:val="en-US" w:eastAsia="zh-CN"/>
        </w:rPr>
        <w:fldChar w:fldCharType="separate"/>
      </w:r>
      <w:r w:rsidRPr="0007208D">
        <w:rPr>
          <w:b/>
          <w:bCs/>
        </w:rPr>
        <w:t xml:space="preserve">Observation </w:t>
      </w:r>
      <w:r w:rsidRPr="0007208D">
        <w:rPr>
          <w:b/>
          <w:bCs/>
          <w:noProof/>
        </w:rPr>
        <w:t>1</w:t>
      </w:r>
      <w:r w:rsidRPr="0007208D">
        <w:rPr>
          <w:b/>
          <w:bCs/>
        </w:rPr>
        <w:t xml:space="preserve">: </w:t>
      </w:r>
      <w:r w:rsidRPr="0007208D">
        <w:rPr>
          <w:b/>
          <w:bCs/>
        </w:rPr>
        <w:t>Implementing a cell search-like procedure would lead to increased complexity for ambient IoT devices</w:t>
      </w:r>
      <w:r w:rsidRPr="0007208D">
        <w:rPr>
          <w:b/>
          <w:bCs/>
        </w:rPr>
        <w:t>.</w:t>
      </w:r>
      <w:r w:rsidRPr="0007208D">
        <w:rPr>
          <w:b/>
          <w:bCs/>
          <w:kern w:val="2"/>
          <w:sz w:val="21"/>
          <w:szCs w:val="22"/>
          <w:lang w:val="en-US" w:eastAsia="zh-CN"/>
        </w:rPr>
        <w:fldChar w:fldCharType="end"/>
      </w:r>
    </w:p>
    <w:p w14:paraId="10D3E96D" w14:textId="2548D31C" w:rsidR="00A7492C" w:rsidRPr="0007208D" w:rsidRDefault="0007208D">
      <w:pPr>
        <w:spacing w:before="120"/>
        <w:rPr>
          <w:b/>
          <w:bCs/>
          <w:kern w:val="2"/>
          <w:sz w:val="21"/>
          <w:szCs w:val="22"/>
          <w:lang w:val="en-US" w:eastAsia="zh-CN"/>
        </w:rPr>
      </w:pPr>
      <w:r w:rsidRPr="0007208D">
        <w:rPr>
          <w:b/>
          <w:bCs/>
          <w:kern w:val="2"/>
          <w:sz w:val="21"/>
          <w:szCs w:val="22"/>
          <w:lang w:val="en-US" w:eastAsia="zh-CN"/>
        </w:rPr>
        <w:fldChar w:fldCharType="begin"/>
      </w:r>
      <w:r w:rsidRPr="0007208D">
        <w:rPr>
          <w:b/>
          <w:bCs/>
          <w:kern w:val="2"/>
          <w:sz w:val="21"/>
          <w:szCs w:val="22"/>
          <w:lang w:val="en-US" w:eastAsia="zh-CN"/>
        </w:rPr>
        <w:instrText xml:space="preserve"> REF _Ref213417028 \h </w:instrText>
      </w:r>
      <w:r w:rsidRPr="0007208D">
        <w:rPr>
          <w:b/>
          <w:bCs/>
          <w:kern w:val="2"/>
          <w:sz w:val="21"/>
          <w:szCs w:val="22"/>
          <w:lang w:val="en-US" w:eastAsia="zh-CN"/>
        </w:rPr>
      </w:r>
      <w:r>
        <w:rPr>
          <w:b/>
          <w:bCs/>
          <w:kern w:val="2"/>
          <w:sz w:val="21"/>
          <w:szCs w:val="22"/>
          <w:lang w:val="en-US" w:eastAsia="zh-CN"/>
        </w:rPr>
        <w:instrText xml:space="preserve"> \* MERGEFORMAT </w:instrText>
      </w:r>
      <w:r w:rsidRPr="0007208D">
        <w:rPr>
          <w:b/>
          <w:bCs/>
          <w:kern w:val="2"/>
          <w:sz w:val="21"/>
          <w:szCs w:val="22"/>
          <w:lang w:val="en-US" w:eastAsia="zh-CN"/>
        </w:rPr>
        <w:fldChar w:fldCharType="separate"/>
      </w:r>
      <w:r w:rsidRPr="0007208D">
        <w:rPr>
          <w:b/>
          <w:bCs/>
        </w:rPr>
        <w:t xml:space="preserve">Observation </w:t>
      </w:r>
      <w:r w:rsidRPr="0007208D">
        <w:rPr>
          <w:b/>
          <w:bCs/>
          <w:noProof/>
        </w:rPr>
        <w:t>2</w:t>
      </w:r>
      <w:r w:rsidRPr="0007208D">
        <w:rPr>
          <w:b/>
          <w:bCs/>
        </w:rPr>
        <w:t xml:space="preserve">: </w:t>
      </w:r>
      <w:r w:rsidRPr="0007208D">
        <w:rPr>
          <w:b/>
          <w:bCs/>
        </w:rPr>
        <w:t>Incorporating code domain multiplexing for the DO-A data payload would increase system complexity and negatively impact decoding performance.</w:t>
      </w:r>
      <w:r w:rsidRPr="0007208D">
        <w:rPr>
          <w:b/>
          <w:bCs/>
          <w:kern w:val="2"/>
          <w:sz w:val="21"/>
          <w:szCs w:val="22"/>
          <w:lang w:val="en-US" w:eastAsia="zh-CN"/>
        </w:rPr>
        <w:fldChar w:fldCharType="end"/>
      </w:r>
    </w:p>
    <w:p w14:paraId="3025944C" w14:textId="6746E698" w:rsidR="00572A71" w:rsidRPr="0007208D" w:rsidRDefault="005862AC">
      <w:pPr>
        <w:spacing w:before="120"/>
        <w:rPr>
          <w:b/>
          <w:bCs/>
          <w:sz w:val="21"/>
          <w:szCs w:val="21"/>
          <w:lang w:val="en-US" w:eastAsia="zh-CN"/>
        </w:rPr>
      </w:pPr>
      <w:r w:rsidRPr="0007208D">
        <w:rPr>
          <w:b/>
          <w:bCs/>
          <w:sz w:val="21"/>
          <w:szCs w:val="21"/>
          <w:lang w:val="en-US" w:eastAsia="zh-CN"/>
        </w:rPr>
        <w:fldChar w:fldCharType="begin"/>
      </w:r>
      <w:r w:rsidRPr="0007208D">
        <w:rPr>
          <w:b/>
          <w:bCs/>
          <w:sz w:val="21"/>
          <w:szCs w:val="21"/>
          <w:lang w:val="en-US" w:eastAsia="zh-CN"/>
        </w:rPr>
        <w:instrText xml:space="preserve"> REF _Ref210228071 \h  \* MERGEFORMAT </w:instrText>
      </w:r>
      <w:r w:rsidRPr="0007208D">
        <w:rPr>
          <w:b/>
          <w:bCs/>
          <w:sz w:val="21"/>
          <w:szCs w:val="21"/>
          <w:lang w:val="en-US" w:eastAsia="zh-CN"/>
        </w:rPr>
      </w:r>
      <w:r w:rsidRPr="0007208D">
        <w:rPr>
          <w:b/>
          <w:bCs/>
          <w:sz w:val="21"/>
          <w:szCs w:val="21"/>
          <w:lang w:val="en-US" w:eastAsia="zh-CN"/>
        </w:rPr>
        <w:fldChar w:fldCharType="separate"/>
      </w:r>
      <w:r w:rsidR="00A7492C" w:rsidRPr="0007208D">
        <w:rPr>
          <w:b/>
          <w:bCs/>
        </w:rPr>
        <w:t xml:space="preserve">Observation </w:t>
      </w:r>
      <w:r w:rsidR="00A7492C" w:rsidRPr="0007208D">
        <w:rPr>
          <w:b/>
          <w:bCs/>
          <w:noProof/>
        </w:rPr>
        <w:t>3</w:t>
      </w:r>
      <w:r w:rsidR="00A7492C" w:rsidRPr="0007208D">
        <w:rPr>
          <w:b/>
          <w:bCs/>
        </w:rPr>
        <w:t>: The DO-A procedure design is highly related with the DO-A traffic characteristics.</w:t>
      </w:r>
      <w:r w:rsidRPr="0007208D">
        <w:rPr>
          <w:b/>
          <w:bCs/>
          <w:sz w:val="21"/>
          <w:szCs w:val="21"/>
          <w:lang w:val="en-US" w:eastAsia="zh-CN"/>
        </w:rPr>
        <w:fldChar w:fldCharType="end"/>
      </w:r>
    </w:p>
    <w:p w14:paraId="17043EC2" w14:textId="1B6F5F8B" w:rsidR="0007208D" w:rsidRPr="0007208D" w:rsidRDefault="0007208D">
      <w:pPr>
        <w:spacing w:before="120"/>
        <w:rPr>
          <w:b/>
          <w:bCs/>
          <w:sz w:val="21"/>
          <w:szCs w:val="21"/>
          <w:lang w:val="en-US" w:eastAsia="zh-CN"/>
        </w:rPr>
      </w:pPr>
      <w:r w:rsidRPr="0007208D">
        <w:rPr>
          <w:b/>
          <w:bCs/>
          <w:sz w:val="21"/>
          <w:szCs w:val="21"/>
          <w:lang w:val="en-US" w:eastAsia="zh-CN"/>
        </w:rPr>
        <w:fldChar w:fldCharType="begin"/>
      </w:r>
      <w:r w:rsidRPr="0007208D">
        <w:rPr>
          <w:b/>
          <w:bCs/>
          <w:sz w:val="21"/>
          <w:szCs w:val="21"/>
          <w:lang w:val="en-US" w:eastAsia="zh-CN"/>
        </w:rPr>
        <w:instrText xml:space="preserve"> REF _Ref213417036 \h </w:instrText>
      </w:r>
      <w:r w:rsidRPr="0007208D">
        <w:rPr>
          <w:b/>
          <w:bCs/>
          <w:sz w:val="21"/>
          <w:szCs w:val="21"/>
          <w:lang w:val="en-US" w:eastAsia="zh-CN"/>
        </w:rPr>
      </w:r>
      <w:r>
        <w:rPr>
          <w:b/>
          <w:bCs/>
          <w:sz w:val="21"/>
          <w:szCs w:val="21"/>
          <w:lang w:val="en-US" w:eastAsia="zh-CN"/>
        </w:rPr>
        <w:instrText xml:space="preserve"> \* MERGEFORMAT </w:instrText>
      </w:r>
      <w:r w:rsidRPr="0007208D">
        <w:rPr>
          <w:b/>
          <w:bCs/>
          <w:sz w:val="21"/>
          <w:szCs w:val="21"/>
          <w:lang w:val="en-US" w:eastAsia="zh-CN"/>
        </w:rPr>
        <w:fldChar w:fldCharType="separate"/>
      </w:r>
      <w:r w:rsidRPr="0007208D">
        <w:rPr>
          <w:b/>
          <w:bCs/>
        </w:rPr>
        <w:t xml:space="preserve">Proposal </w:t>
      </w:r>
      <w:r w:rsidRPr="0007208D">
        <w:rPr>
          <w:b/>
          <w:bCs/>
          <w:noProof/>
        </w:rPr>
        <w:t>1</w:t>
      </w:r>
      <w:r w:rsidRPr="0007208D">
        <w:rPr>
          <w:b/>
          <w:bCs/>
        </w:rPr>
        <w:t xml:space="preserve">: Avoid a </w:t>
      </w:r>
      <w:r w:rsidRPr="0007208D">
        <w:rPr>
          <w:b/>
          <w:bCs/>
        </w:rPr>
        <w:t>cell search</w:t>
      </w:r>
      <w:r w:rsidRPr="0007208D">
        <w:rPr>
          <w:b/>
          <w:bCs/>
        </w:rPr>
        <w:t>-</w:t>
      </w:r>
      <w:r w:rsidRPr="0007208D">
        <w:rPr>
          <w:b/>
          <w:bCs/>
        </w:rPr>
        <w:t>like procedure</w:t>
      </w:r>
      <w:r w:rsidRPr="0007208D">
        <w:rPr>
          <w:b/>
          <w:bCs/>
        </w:rPr>
        <w:t xml:space="preserve"> </w:t>
      </w:r>
      <w:r w:rsidRPr="0007208D">
        <w:rPr>
          <w:rFonts w:eastAsia="等线"/>
          <w:b/>
          <w:bCs/>
        </w:rPr>
        <w:t>that require</w:t>
      </w:r>
      <w:r w:rsidRPr="0007208D">
        <w:rPr>
          <w:rFonts w:eastAsia="等线"/>
          <w:b/>
          <w:bCs/>
        </w:rPr>
        <w:t>s</w:t>
      </w:r>
      <w:r w:rsidRPr="0007208D">
        <w:rPr>
          <w:rFonts w:eastAsia="等线"/>
          <w:b/>
          <w:bCs/>
        </w:rPr>
        <w:t xml:space="preserve"> searching for both timing and frequency points</w:t>
      </w:r>
      <w:r w:rsidRPr="0007208D">
        <w:rPr>
          <w:b/>
          <w:bCs/>
          <w:sz w:val="21"/>
          <w:szCs w:val="21"/>
          <w:lang w:val="en-US" w:eastAsia="zh-CN"/>
        </w:rPr>
        <w:fldChar w:fldCharType="end"/>
      </w:r>
      <w:r w:rsidR="00172F13">
        <w:rPr>
          <w:b/>
          <w:bCs/>
          <w:sz w:val="21"/>
          <w:szCs w:val="21"/>
          <w:lang w:val="en-US" w:eastAsia="zh-CN"/>
        </w:rPr>
        <w:t>.</w:t>
      </w:r>
    </w:p>
    <w:p w14:paraId="21F609FB" w14:textId="6EE72CAA" w:rsidR="0007208D" w:rsidRPr="0007208D" w:rsidRDefault="0007208D">
      <w:pPr>
        <w:spacing w:before="120"/>
        <w:rPr>
          <w:b/>
          <w:bCs/>
          <w:sz w:val="21"/>
          <w:szCs w:val="21"/>
          <w:lang w:val="en-US" w:eastAsia="zh-CN"/>
        </w:rPr>
      </w:pPr>
      <w:r w:rsidRPr="0007208D">
        <w:rPr>
          <w:b/>
          <w:bCs/>
          <w:sz w:val="21"/>
          <w:szCs w:val="21"/>
          <w:lang w:val="en-US" w:eastAsia="zh-CN"/>
        </w:rPr>
        <w:fldChar w:fldCharType="begin"/>
      </w:r>
      <w:r w:rsidRPr="0007208D">
        <w:rPr>
          <w:b/>
          <w:bCs/>
          <w:sz w:val="21"/>
          <w:szCs w:val="21"/>
          <w:lang w:val="en-US" w:eastAsia="zh-CN"/>
        </w:rPr>
        <w:instrText xml:space="preserve"> REF _Ref213417040 \h </w:instrText>
      </w:r>
      <w:r w:rsidRPr="0007208D">
        <w:rPr>
          <w:b/>
          <w:bCs/>
          <w:sz w:val="21"/>
          <w:szCs w:val="21"/>
          <w:lang w:val="en-US" w:eastAsia="zh-CN"/>
        </w:rPr>
      </w:r>
      <w:r>
        <w:rPr>
          <w:b/>
          <w:bCs/>
          <w:sz w:val="21"/>
          <w:szCs w:val="21"/>
          <w:lang w:val="en-US" w:eastAsia="zh-CN"/>
        </w:rPr>
        <w:instrText xml:space="preserve"> \* MERGEFORMAT </w:instrText>
      </w:r>
      <w:r w:rsidRPr="0007208D">
        <w:rPr>
          <w:b/>
          <w:bCs/>
          <w:sz w:val="21"/>
          <w:szCs w:val="21"/>
          <w:lang w:val="en-US" w:eastAsia="zh-CN"/>
        </w:rPr>
        <w:fldChar w:fldCharType="separate"/>
      </w:r>
      <w:r w:rsidRPr="0007208D">
        <w:rPr>
          <w:b/>
          <w:bCs/>
        </w:rPr>
        <w:t xml:space="preserve">Proposal </w:t>
      </w:r>
      <w:r w:rsidRPr="0007208D">
        <w:rPr>
          <w:b/>
          <w:bCs/>
          <w:noProof/>
        </w:rPr>
        <w:t>2</w:t>
      </w:r>
      <w:r w:rsidRPr="0007208D">
        <w:rPr>
          <w:b/>
          <w:bCs/>
        </w:rPr>
        <w:t xml:space="preserve">: The broadcast information </w:t>
      </w:r>
      <w:r w:rsidRPr="0007208D">
        <w:rPr>
          <w:b/>
          <w:bCs/>
          <w:lang w:val="en-US" w:eastAsia="zh-CN"/>
        </w:rPr>
        <w:t xml:space="preserve">is </w:t>
      </w:r>
      <w:r w:rsidRPr="0007208D">
        <w:rPr>
          <w:b/>
          <w:bCs/>
          <w:lang w:val="en-US" w:eastAsia="zh-CN"/>
        </w:rPr>
        <w:t>expected</w:t>
      </w:r>
      <w:r w:rsidRPr="0007208D">
        <w:rPr>
          <w:b/>
          <w:bCs/>
          <w:lang w:val="en-US" w:eastAsia="zh-CN"/>
        </w:rPr>
        <w:t xml:space="preserve"> to be received right after the initial frequency acquisition</w:t>
      </w:r>
      <w:r w:rsidRPr="0007208D">
        <w:rPr>
          <w:b/>
          <w:bCs/>
          <w:sz w:val="21"/>
          <w:szCs w:val="21"/>
          <w:lang w:val="en-US" w:eastAsia="zh-CN"/>
        </w:rPr>
        <w:fldChar w:fldCharType="end"/>
      </w:r>
      <w:r w:rsidRPr="0007208D">
        <w:rPr>
          <w:b/>
          <w:bCs/>
          <w:sz w:val="21"/>
          <w:szCs w:val="21"/>
          <w:lang w:val="en-US" w:eastAsia="zh-CN"/>
        </w:rPr>
        <w:t xml:space="preserve"> </w:t>
      </w:r>
    </w:p>
    <w:p w14:paraId="2113770B" w14:textId="35A96C12" w:rsidR="0007208D" w:rsidRPr="0007208D" w:rsidRDefault="0007208D">
      <w:pPr>
        <w:spacing w:before="120"/>
        <w:rPr>
          <w:b/>
          <w:bCs/>
          <w:sz w:val="21"/>
          <w:szCs w:val="21"/>
          <w:lang w:val="en-US" w:eastAsia="zh-CN"/>
        </w:rPr>
      </w:pPr>
      <w:r w:rsidRPr="0007208D">
        <w:rPr>
          <w:b/>
          <w:bCs/>
          <w:sz w:val="21"/>
          <w:szCs w:val="21"/>
          <w:lang w:val="en-US" w:eastAsia="zh-CN"/>
        </w:rPr>
        <w:fldChar w:fldCharType="begin"/>
      </w:r>
      <w:r w:rsidRPr="0007208D">
        <w:rPr>
          <w:b/>
          <w:bCs/>
          <w:sz w:val="21"/>
          <w:szCs w:val="21"/>
          <w:lang w:val="en-US" w:eastAsia="zh-CN"/>
        </w:rPr>
        <w:instrText xml:space="preserve"> REF _Ref213417043 \h </w:instrText>
      </w:r>
      <w:r w:rsidRPr="0007208D">
        <w:rPr>
          <w:b/>
          <w:bCs/>
          <w:sz w:val="21"/>
          <w:szCs w:val="21"/>
          <w:lang w:val="en-US" w:eastAsia="zh-CN"/>
        </w:rPr>
      </w:r>
      <w:r>
        <w:rPr>
          <w:b/>
          <w:bCs/>
          <w:sz w:val="21"/>
          <w:szCs w:val="21"/>
          <w:lang w:val="en-US" w:eastAsia="zh-CN"/>
        </w:rPr>
        <w:instrText xml:space="preserve"> \* MERGEFORMAT </w:instrText>
      </w:r>
      <w:r w:rsidRPr="0007208D">
        <w:rPr>
          <w:b/>
          <w:bCs/>
          <w:sz w:val="21"/>
          <w:szCs w:val="21"/>
          <w:lang w:val="en-US" w:eastAsia="zh-CN"/>
        </w:rPr>
        <w:fldChar w:fldCharType="separate"/>
      </w:r>
      <w:r w:rsidRPr="0007208D">
        <w:rPr>
          <w:b/>
          <w:bCs/>
        </w:rPr>
        <w:t xml:space="preserve">Proposal </w:t>
      </w:r>
      <w:r w:rsidRPr="0007208D">
        <w:rPr>
          <w:b/>
          <w:bCs/>
          <w:noProof/>
        </w:rPr>
        <w:t>3</w:t>
      </w:r>
      <w:r w:rsidRPr="0007208D">
        <w:rPr>
          <w:b/>
          <w:bCs/>
        </w:rPr>
        <w:t xml:space="preserve">: </w:t>
      </w:r>
      <w:r w:rsidRPr="0007208D">
        <w:rPr>
          <w:rFonts w:ascii="Times" w:hAnsi="Times" w:cs="Times"/>
          <w:b/>
          <w:bCs/>
          <w:lang w:eastAsia="zh-CN"/>
        </w:rPr>
        <w:t>T</w:t>
      </w:r>
      <w:r w:rsidRPr="0007208D">
        <w:rPr>
          <w:rFonts w:ascii="Times" w:hAnsi="Times" w:cs="Times"/>
          <w:b/>
          <w:bCs/>
          <w:lang w:eastAsia="zh-CN"/>
        </w:rPr>
        <w:t xml:space="preserve">he first </w:t>
      </w:r>
      <w:proofErr w:type="spellStart"/>
      <w:r w:rsidRPr="0007208D">
        <w:rPr>
          <w:rFonts w:ascii="Times" w:hAnsi="Times" w:cs="Times"/>
          <w:b/>
          <w:bCs/>
          <w:lang w:eastAsia="zh-CN"/>
        </w:rPr>
        <w:t>D2R</w:t>
      </w:r>
      <w:proofErr w:type="spellEnd"/>
      <w:r w:rsidRPr="0007208D">
        <w:rPr>
          <w:rFonts w:ascii="Times" w:hAnsi="Times" w:cs="Times"/>
          <w:b/>
          <w:bCs/>
          <w:lang w:eastAsia="zh-CN"/>
        </w:rPr>
        <w:t xml:space="preserve"> transmission for DO-A</w:t>
      </w:r>
      <w:r w:rsidRPr="0007208D">
        <w:rPr>
          <w:rFonts w:ascii="Times" w:hAnsi="Times" w:cs="Times"/>
          <w:b/>
          <w:bCs/>
          <w:lang w:eastAsia="zh-CN"/>
        </w:rPr>
        <w:t>, i.e., a DO-A request signal, should include the random ID or device ID.</w:t>
      </w:r>
      <w:r w:rsidRPr="0007208D">
        <w:rPr>
          <w:b/>
          <w:bCs/>
          <w:sz w:val="21"/>
          <w:szCs w:val="21"/>
          <w:lang w:val="en-US" w:eastAsia="zh-CN"/>
        </w:rPr>
        <w:fldChar w:fldCharType="end"/>
      </w:r>
    </w:p>
    <w:p w14:paraId="3A3E055B" w14:textId="5DE8734A" w:rsidR="005862AC" w:rsidRPr="0007208D" w:rsidRDefault="005862AC">
      <w:pPr>
        <w:spacing w:before="120"/>
        <w:rPr>
          <w:b/>
          <w:bCs/>
          <w:sz w:val="21"/>
          <w:szCs w:val="21"/>
          <w:lang w:val="en-US" w:eastAsia="zh-CN"/>
        </w:rPr>
      </w:pPr>
      <w:r w:rsidRPr="0007208D">
        <w:rPr>
          <w:b/>
          <w:bCs/>
          <w:sz w:val="21"/>
          <w:szCs w:val="21"/>
          <w:lang w:val="en-US" w:eastAsia="zh-CN"/>
        </w:rPr>
        <w:fldChar w:fldCharType="begin"/>
      </w:r>
      <w:r w:rsidRPr="0007208D">
        <w:rPr>
          <w:b/>
          <w:bCs/>
          <w:sz w:val="21"/>
          <w:szCs w:val="21"/>
          <w:lang w:val="en-US" w:eastAsia="zh-CN"/>
        </w:rPr>
        <w:instrText xml:space="preserve"> REF _Ref210228103 \h  \* MERGEFORMAT </w:instrText>
      </w:r>
      <w:r w:rsidRPr="0007208D">
        <w:rPr>
          <w:b/>
          <w:bCs/>
          <w:sz w:val="21"/>
          <w:szCs w:val="21"/>
          <w:lang w:val="en-US" w:eastAsia="zh-CN"/>
        </w:rPr>
      </w:r>
      <w:r w:rsidRPr="0007208D">
        <w:rPr>
          <w:b/>
          <w:bCs/>
          <w:sz w:val="21"/>
          <w:szCs w:val="21"/>
          <w:lang w:val="en-US" w:eastAsia="zh-CN"/>
        </w:rPr>
        <w:fldChar w:fldCharType="separate"/>
      </w:r>
      <w:r w:rsidR="00A7492C" w:rsidRPr="0007208D">
        <w:rPr>
          <w:b/>
          <w:bCs/>
        </w:rPr>
        <w:t xml:space="preserve">Proposal </w:t>
      </w:r>
      <w:r w:rsidR="00A7492C" w:rsidRPr="0007208D">
        <w:rPr>
          <w:b/>
          <w:bCs/>
          <w:noProof/>
        </w:rPr>
        <w:t>4</w:t>
      </w:r>
      <w:r w:rsidR="00A7492C" w:rsidRPr="0007208D">
        <w:rPr>
          <w:b/>
          <w:bCs/>
        </w:rPr>
        <w:t>: Support further study of DO-A traffic characteristics, e.g., DO-A interval, etc.</w:t>
      </w:r>
      <w:r w:rsidRPr="0007208D">
        <w:rPr>
          <w:b/>
          <w:bCs/>
          <w:sz w:val="21"/>
          <w:szCs w:val="21"/>
          <w:lang w:val="en-US" w:eastAsia="zh-CN"/>
        </w:rPr>
        <w:fldChar w:fldCharType="end"/>
      </w:r>
    </w:p>
    <w:p w14:paraId="7EFFF9ED" w14:textId="77777777" w:rsidR="005862AC" w:rsidRPr="00C84499" w:rsidRDefault="005862AC">
      <w:pPr>
        <w:spacing w:before="120"/>
        <w:rPr>
          <w:b/>
          <w:bCs/>
          <w:lang w:eastAsia="zh-CN"/>
        </w:rPr>
      </w:pPr>
    </w:p>
    <w:p w14:paraId="6CF43C84"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70C29893" w14:textId="031D6F84" w:rsidR="00B10874" w:rsidRDefault="00FD5C09" w:rsidP="000B108B">
      <w:pPr>
        <w:pStyle w:val="af7"/>
        <w:numPr>
          <w:ilvl w:val="0"/>
          <w:numId w:val="16"/>
        </w:numPr>
        <w:spacing w:before="120"/>
        <w:ind w:firstLineChars="0"/>
        <w:rPr>
          <w:rFonts w:ascii="Times New Roman" w:eastAsia="宋体" w:hAnsi="Times New Roman"/>
        </w:rPr>
      </w:pPr>
      <w:bookmarkStart w:id="15" w:name="_Ref210301666"/>
      <w:r w:rsidRPr="00FD5C09">
        <w:rPr>
          <w:rFonts w:ascii="Times New Roman" w:eastAsia="宋体" w:hAnsi="Times New Roman"/>
        </w:rPr>
        <w:t>RP-252964, Revised SID: Study on enhancements for solutions for Ambient IoT (Internet of Things) in NR outdoor for active devices, LG Electronics, RAN #109, September 15-18, 2025.</w:t>
      </w:r>
      <w:bookmarkEnd w:id="15"/>
    </w:p>
    <w:p w14:paraId="36B3C9B7" w14:textId="48985614" w:rsidR="003B4D4B" w:rsidRPr="003B4D4B" w:rsidRDefault="003B4D4B" w:rsidP="003B4D4B">
      <w:pPr>
        <w:pStyle w:val="af7"/>
        <w:numPr>
          <w:ilvl w:val="0"/>
          <w:numId w:val="16"/>
        </w:numPr>
        <w:spacing w:before="120"/>
        <w:ind w:firstLineChars="0"/>
        <w:rPr>
          <w:rFonts w:ascii="Times New Roman" w:eastAsia="宋体" w:hAnsi="Times New Roman" w:hint="eastAsia"/>
        </w:rPr>
      </w:pPr>
      <w:bookmarkStart w:id="16" w:name="_Ref213341803"/>
      <w:proofErr w:type="spellStart"/>
      <w:r>
        <w:rPr>
          <w:rFonts w:ascii="Times New Roman" w:eastAsia="宋体" w:hAnsi="Times New Roman"/>
        </w:rPr>
        <w:t>R1</w:t>
      </w:r>
      <w:proofErr w:type="spellEnd"/>
      <w:r>
        <w:rPr>
          <w:rFonts w:ascii="Times New Roman" w:eastAsia="宋体" w:hAnsi="Times New Roman"/>
        </w:rPr>
        <w:t xml:space="preserve">-2508175, FL summary #9 for 10.3.2 “Study of air interface for Device </w:t>
      </w:r>
      <w:proofErr w:type="spellStart"/>
      <w:r>
        <w:rPr>
          <w:rFonts w:ascii="Times New Roman" w:eastAsia="宋体" w:hAnsi="Times New Roman"/>
        </w:rPr>
        <w:t>2b</w:t>
      </w:r>
      <w:proofErr w:type="spellEnd"/>
      <w:r>
        <w:rPr>
          <w:rFonts w:ascii="Times New Roman" w:eastAsia="宋体" w:hAnsi="Times New Roman"/>
        </w:rPr>
        <w:t xml:space="preserve">/C”, Moderator (LG Electronics), </w:t>
      </w:r>
      <w:proofErr w:type="spellStart"/>
      <w:r>
        <w:rPr>
          <w:rFonts w:ascii="Times New Roman" w:eastAsia="宋体" w:hAnsi="Times New Roman"/>
        </w:rPr>
        <w:t>RAN1#122bis</w:t>
      </w:r>
      <w:proofErr w:type="spellEnd"/>
      <w:r>
        <w:rPr>
          <w:rFonts w:ascii="Times New Roman" w:eastAsia="宋体" w:hAnsi="Times New Roman"/>
        </w:rPr>
        <w:t>, Oct 13th – 17th, 2025</w:t>
      </w:r>
      <w:bookmarkEnd w:id="16"/>
    </w:p>
    <w:sectPr w:rsidR="003B4D4B" w:rsidRPr="003B4D4B">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CEC7" w14:textId="77777777" w:rsidR="00FB52D1" w:rsidRDefault="00FB52D1">
      <w:pPr>
        <w:spacing w:before="120" w:line="240" w:lineRule="auto"/>
      </w:pPr>
      <w:r>
        <w:separator/>
      </w:r>
    </w:p>
  </w:endnote>
  <w:endnote w:type="continuationSeparator" w:id="0">
    <w:p w14:paraId="48600903" w14:textId="77777777" w:rsidR="00FB52D1" w:rsidRDefault="00FB52D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6067" w14:textId="77777777" w:rsidR="00B10874" w:rsidRDefault="00B10874">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4A05" w14:textId="77777777" w:rsidR="00B10874" w:rsidRDefault="00B10874">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5FE0" w14:textId="77777777" w:rsidR="00B10874" w:rsidRDefault="00B10874">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B04F" w14:textId="77777777" w:rsidR="00FB52D1" w:rsidRDefault="00FB52D1">
      <w:pPr>
        <w:spacing w:before="120"/>
      </w:pPr>
      <w:r>
        <w:separator/>
      </w:r>
    </w:p>
  </w:footnote>
  <w:footnote w:type="continuationSeparator" w:id="0">
    <w:p w14:paraId="0DB4B6AF" w14:textId="77777777" w:rsidR="00FB52D1" w:rsidRDefault="00FB52D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87C8" w14:textId="77777777" w:rsidR="00B10874" w:rsidRDefault="00B10874">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E598" w14:textId="77777777" w:rsidR="00B10874" w:rsidRDefault="00B10874">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8276" w14:textId="77777777" w:rsidR="00B10874" w:rsidRDefault="00B10874">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CC7F96C9"/>
    <w:multiLevelType w:val="singleLevel"/>
    <w:tmpl w:val="CC7F96C9"/>
    <w:lvl w:ilvl="0">
      <w:start w:val="1"/>
      <w:numFmt w:val="bullet"/>
      <w:lvlText w:val=""/>
      <w:lvlJc w:val="left"/>
      <w:pPr>
        <w:ind w:left="420" w:hanging="420"/>
      </w:pPr>
      <w:rPr>
        <w:rFonts w:ascii="Wingdings" w:hAnsi="Wingdings" w:hint="default"/>
      </w:rPr>
    </w:lvl>
  </w:abstractNum>
  <w:abstractNum w:abstractNumId="2" w15:restartNumberingAfterBreak="0">
    <w:nsid w:val="E29175AC"/>
    <w:multiLevelType w:val="multilevel"/>
    <w:tmpl w:val="E29175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3A7FB5B"/>
    <w:multiLevelType w:val="multilevel"/>
    <w:tmpl w:val="F3A7FB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560D4"/>
    <w:multiLevelType w:val="multilevel"/>
    <w:tmpl w:val="FFF560D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1D1C26"/>
    <w:multiLevelType w:val="multilevel"/>
    <w:tmpl w:val="17C8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B05DEE"/>
    <w:multiLevelType w:val="hybridMultilevel"/>
    <w:tmpl w:val="74D8EBDA"/>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32BF5EB2"/>
    <w:multiLevelType w:val="multilevel"/>
    <w:tmpl w:val="32BF5EB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5A161E0"/>
    <w:multiLevelType w:val="multilevel"/>
    <w:tmpl w:val="45A161E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98412EE"/>
    <w:multiLevelType w:val="multilevel"/>
    <w:tmpl w:val="D29A0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43412775">
    <w:abstractNumId w:val="17"/>
  </w:num>
  <w:num w:numId="2" w16cid:durableId="1977907356">
    <w:abstractNumId w:val="12"/>
  </w:num>
  <w:num w:numId="3" w16cid:durableId="110059023">
    <w:abstractNumId w:val="16"/>
  </w:num>
  <w:num w:numId="4" w16cid:durableId="1049303096">
    <w:abstractNumId w:val="10"/>
  </w:num>
  <w:num w:numId="5" w16cid:durableId="782460216">
    <w:abstractNumId w:val="7"/>
  </w:num>
  <w:num w:numId="6" w16cid:durableId="261498518">
    <w:abstractNumId w:val="14"/>
  </w:num>
  <w:num w:numId="7" w16cid:durableId="1090007602">
    <w:abstractNumId w:val="0"/>
  </w:num>
  <w:num w:numId="8" w16cid:durableId="596254729">
    <w:abstractNumId w:val="6"/>
  </w:num>
  <w:num w:numId="9" w16cid:durableId="152064096">
    <w:abstractNumId w:val="15"/>
  </w:num>
  <w:num w:numId="10" w16cid:durableId="1475365281">
    <w:abstractNumId w:val="11"/>
  </w:num>
  <w:num w:numId="11" w16cid:durableId="1085227024">
    <w:abstractNumId w:val="4"/>
  </w:num>
  <w:num w:numId="12" w16cid:durableId="1044141668">
    <w:abstractNumId w:val="13"/>
  </w:num>
  <w:num w:numId="13" w16cid:durableId="1038093714">
    <w:abstractNumId w:val="3"/>
  </w:num>
  <w:num w:numId="14" w16cid:durableId="831070983">
    <w:abstractNumId w:val="2"/>
  </w:num>
  <w:num w:numId="15" w16cid:durableId="200438568">
    <w:abstractNumId w:val="1"/>
  </w:num>
  <w:num w:numId="16" w16cid:durableId="666709959">
    <w:abstractNumId w:val="5"/>
  </w:num>
  <w:num w:numId="17" w16cid:durableId="1404987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91512">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3295445">
    <w:abstractNumId w:val="9"/>
  </w:num>
  <w:num w:numId="20" w16cid:durableId="819153539">
    <w:abstractNumId w:val="8"/>
  </w:num>
  <w:num w:numId="21" w16cid:durableId="1419868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79941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2385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1"/>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AE35443"/>
    <w:rsid w:val="BDB5B00D"/>
    <w:rsid w:val="CD9B670D"/>
    <w:rsid w:val="DB2FFE77"/>
    <w:rsid w:val="DD8FC846"/>
    <w:rsid w:val="E3AF0CED"/>
    <w:rsid w:val="F7DFF9DF"/>
    <w:rsid w:val="F7FFD237"/>
    <w:rsid w:val="FBD73E03"/>
    <w:rsid w:val="FBF1BBC7"/>
    <w:rsid w:val="FDEFD506"/>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3A5A"/>
    <w:rsid w:val="00014B39"/>
    <w:rsid w:val="0001542C"/>
    <w:rsid w:val="000155D1"/>
    <w:rsid w:val="00015988"/>
    <w:rsid w:val="00015B32"/>
    <w:rsid w:val="00015BE4"/>
    <w:rsid w:val="000160B4"/>
    <w:rsid w:val="00016442"/>
    <w:rsid w:val="00016552"/>
    <w:rsid w:val="000165AF"/>
    <w:rsid w:val="00016B45"/>
    <w:rsid w:val="00016C27"/>
    <w:rsid w:val="00017B1D"/>
    <w:rsid w:val="00017E72"/>
    <w:rsid w:val="00020B6F"/>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8D"/>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08B"/>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29C3"/>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B4A"/>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2F13"/>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791"/>
    <w:rsid w:val="00186B7E"/>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705"/>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4E8D"/>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6E8C"/>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1FDD"/>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6E4"/>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BFE"/>
    <w:rsid w:val="00293C0C"/>
    <w:rsid w:val="00293D37"/>
    <w:rsid w:val="00294627"/>
    <w:rsid w:val="00294720"/>
    <w:rsid w:val="0029481D"/>
    <w:rsid w:val="00294915"/>
    <w:rsid w:val="00294A3E"/>
    <w:rsid w:val="002951C2"/>
    <w:rsid w:val="00295626"/>
    <w:rsid w:val="002956DA"/>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2D93"/>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4D03"/>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48E"/>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37EAE"/>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7A5"/>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BBC"/>
    <w:rsid w:val="003A6F64"/>
    <w:rsid w:val="003A7A7D"/>
    <w:rsid w:val="003B141E"/>
    <w:rsid w:val="003B1516"/>
    <w:rsid w:val="003B280C"/>
    <w:rsid w:val="003B2EE0"/>
    <w:rsid w:val="003B31AB"/>
    <w:rsid w:val="003B3FB1"/>
    <w:rsid w:val="003B43A9"/>
    <w:rsid w:val="003B4BA0"/>
    <w:rsid w:val="003B4D4B"/>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6C7"/>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00E3"/>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0"/>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85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CDE"/>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EA2"/>
    <w:rsid w:val="005600B5"/>
    <w:rsid w:val="005602C5"/>
    <w:rsid w:val="005603B7"/>
    <w:rsid w:val="005605FF"/>
    <w:rsid w:val="00560799"/>
    <w:rsid w:val="00560963"/>
    <w:rsid w:val="005610C1"/>
    <w:rsid w:val="005616C4"/>
    <w:rsid w:val="005616EB"/>
    <w:rsid w:val="005617CF"/>
    <w:rsid w:val="00563E12"/>
    <w:rsid w:val="00564342"/>
    <w:rsid w:val="00564A70"/>
    <w:rsid w:val="00564B1E"/>
    <w:rsid w:val="00564BB5"/>
    <w:rsid w:val="00564FA3"/>
    <w:rsid w:val="00565654"/>
    <w:rsid w:val="00565751"/>
    <w:rsid w:val="0056586A"/>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2A71"/>
    <w:rsid w:val="00573F36"/>
    <w:rsid w:val="005740E7"/>
    <w:rsid w:val="00574CFB"/>
    <w:rsid w:val="00575088"/>
    <w:rsid w:val="005754FB"/>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2AC"/>
    <w:rsid w:val="0058675F"/>
    <w:rsid w:val="00586814"/>
    <w:rsid w:val="00586BD8"/>
    <w:rsid w:val="00586FCC"/>
    <w:rsid w:val="00587FEB"/>
    <w:rsid w:val="00590055"/>
    <w:rsid w:val="005906B5"/>
    <w:rsid w:val="00590848"/>
    <w:rsid w:val="00590965"/>
    <w:rsid w:val="00590BA9"/>
    <w:rsid w:val="00590CE0"/>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1FF"/>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A"/>
    <w:rsid w:val="0061765B"/>
    <w:rsid w:val="00620471"/>
    <w:rsid w:val="00621442"/>
    <w:rsid w:val="006217CE"/>
    <w:rsid w:val="006219E1"/>
    <w:rsid w:val="00621C71"/>
    <w:rsid w:val="00621E93"/>
    <w:rsid w:val="0062214F"/>
    <w:rsid w:val="006229AD"/>
    <w:rsid w:val="00622F7D"/>
    <w:rsid w:val="00623025"/>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77BB7"/>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60B"/>
    <w:rsid w:val="006D285C"/>
    <w:rsid w:val="006D2868"/>
    <w:rsid w:val="006D2CEB"/>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2AF"/>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199"/>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2BB"/>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98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2F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594"/>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0AF2"/>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97D"/>
    <w:rsid w:val="008E3F22"/>
    <w:rsid w:val="008E40BD"/>
    <w:rsid w:val="008E427D"/>
    <w:rsid w:val="008E4F9E"/>
    <w:rsid w:val="008E6376"/>
    <w:rsid w:val="008E652B"/>
    <w:rsid w:val="008E745E"/>
    <w:rsid w:val="008E7864"/>
    <w:rsid w:val="008E7BBA"/>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4F2F"/>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5BC"/>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3F61"/>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2C58"/>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2C6C"/>
    <w:rsid w:val="009A33FF"/>
    <w:rsid w:val="009A3754"/>
    <w:rsid w:val="009A48BC"/>
    <w:rsid w:val="009A4AF6"/>
    <w:rsid w:val="009A4C49"/>
    <w:rsid w:val="009A54E1"/>
    <w:rsid w:val="009A573F"/>
    <w:rsid w:val="009A5743"/>
    <w:rsid w:val="009A5A3E"/>
    <w:rsid w:val="009A64A0"/>
    <w:rsid w:val="009A6920"/>
    <w:rsid w:val="009A6999"/>
    <w:rsid w:val="009A69BA"/>
    <w:rsid w:val="009A69C4"/>
    <w:rsid w:val="009A6D09"/>
    <w:rsid w:val="009A70AC"/>
    <w:rsid w:val="009A7164"/>
    <w:rsid w:val="009A742F"/>
    <w:rsid w:val="009B0276"/>
    <w:rsid w:val="009B044B"/>
    <w:rsid w:val="009B0939"/>
    <w:rsid w:val="009B0B77"/>
    <w:rsid w:val="009B0EF6"/>
    <w:rsid w:val="009B153D"/>
    <w:rsid w:val="009B1ED8"/>
    <w:rsid w:val="009B22D3"/>
    <w:rsid w:val="009B24DF"/>
    <w:rsid w:val="009B30F8"/>
    <w:rsid w:val="009B32DD"/>
    <w:rsid w:val="009B35A1"/>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1DE9"/>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743"/>
    <w:rsid w:val="009E3847"/>
    <w:rsid w:val="009E390F"/>
    <w:rsid w:val="009E398C"/>
    <w:rsid w:val="009E3C18"/>
    <w:rsid w:val="009E40B2"/>
    <w:rsid w:val="009E44C7"/>
    <w:rsid w:val="009E4AC8"/>
    <w:rsid w:val="009E4EFD"/>
    <w:rsid w:val="009E531F"/>
    <w:rsid w:val="009E5AA6"/>
    <w:rsid w:val="009E5C05"/>
    <w:rsid w:val="009E661C"/>
    <w:rsid w:val="009E67A5"/>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238"/>
    <w:rsid w:val="00A115F2"/>
    <w:rsid w:val="00A11D0F"/>
    <w:rsid w:val="00A136E9"/>
    <w:rsid w:val="00A13B5A"/>
    <w:rsid w:val="00A14CBE"/>
    <w:rsid w:val="00A15570"/>
    <w:rsid w:val="00A15701"/>
    <w:rsid w:val="00A15F1B"/>
    <w:rsid w:val="00A16ED6"/>
    <w:rsid w:val="00A171E2"/>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7D1"/>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08C"/>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0C13"/>
    <w:rsid w:val="00A712BA"/>
    <w:rsid w:val="00A7209F"/>
    <w:rsid w:val="00A72149"/>
    <w:rsid w:val="00A72191"/>
    <w:rsid w:val="00A7249D"/>
    <w:rsid w:val="00A72558"/>
    <w:rsid w:val="00A732A0"/>
    <w:rsid w:val="00A73C5D"/>
    <w:rsid w:val="00A7473C"/>
    <w:rsid w:val="00A74743"/>
    <w:rsid w:val="00A7492C"/>
    <w:rsid w:val="00A7506D"/>
    <w:rsid w:val="00A754C9"/>
    <w:rsid w:val="00A75BBA"/>
    <w:rsid w:val="00A7642A"/>
    <w:rsid w:val="00A76E57"/>
    <w:rsid w:val="00A76EE4"/>
    <w:rsid w:val="00A7713A"/>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0CB"/>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A42"/>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4C9"/>
    <w:rsid w:val="00B07A9F"/>
    <w:rsid w:val="00B07EA5"/>
    <w:rsid w:val="00B10874"/>
    <w:rsid w:val="00B11013"/>
    <w:rsid w:val="00B11666"/>
    <w:rsid w:val="00B1206B"/>
    <w:rsid w:val="00B12B14"/>
    <w:rsid w:val="00B12D6E"/>
    <w:rsid w:val="00B13112"/>
    <w:rsid w:val="00B13226"/>
    <w:rsid w:val="00B1338F"/>
    <w:rsid w:val="00B13464"/>
    <w:rsid w:val="00B13682"/>
    <w:rsid w:val="00B155DE"/>
    <w:rsid w:val="00B158FE"/>
    <w:rsid w:val="00B15A09"/>
    <w:rsid w:val="00B15E8C"/>
    <w:rsid w:val="00B16066"/>
    <w:rsid w:val="00B1614C"/>
    <w:rsid w:val="00B16489"/>
    <w:rsid w:val="00B16A13"/>
    <w:rsid w:val="00B16CAE"/>
    <w:rsid w:val="00B16FFA"/>
    <w:rsid w:val="00B17573"/>
    <w:rsid w:val="00B20224"/>
    <w:rsid w:val="00B20A1E"/>
    <w:rsid w:val="00B21066"/>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57AC5"/>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12CA"/>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24A"/>
    <w:rsid w:val="00C326E9"/>
    <w:rsid w:val="00C32F6F"/>
    <w:rsid w:val="00C33308"/>
    <w:rsid w:val="00C333D8"/>
    <w:rsid w:val="00C33D2B"/>
    <w:rsid w:val="00C34339"/>
    <w:rsid w:val="00C347C5"/>
    <w:rsid w:val="00C35339"/>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655"/>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CBD"/>
    <w:rsid w:val="00CD6DD3"/>
    <w:rsid w:val="00CD6EB4"/>
    <w:rsid w:val="00CD71AD"/>
    <w:rsid w:val="00CE0002"/>
    <w:rsid w:val="00CE0962"/>
    <w:rsid w:val="00CE0BDA"/>
    <w:rsid w:val="00CE10FD"/>
    <w:rsid w:val="00CE14D5"/>
    <w:rsid w:val="00CE16EB"/>
    <w:rsid w:val="00CE1859"/>
    <w:rsid w:val="00CE20D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4CB"/>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5234"/>
    <w:rsid w:val="00D260D0"/>
    <w:rsid w:val="00D26320"/>
    <w:rsid w:val="00D26B38"/>
    <w:rsid w:val="00D26F07"/>
    <w:rsid w:val="00D27841"/>
    <w:rsid w:val="00D278D7"/>
    <w:rsid w:val="00D2792C"/>
    <w:rsid w:val="00D27C0E"/>
    <w:rsid w:val="00D30EE4"/>
    <w:rsid w:val="00D30FEF"/>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09FD"/>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09A9"/>
    <w:rsid w:val="00D722F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89D"/>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1E0"/>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459"/>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AA4"/>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C25"/>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2E9"/>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8F5"/>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E7E05"/>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57E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3978"/>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0"/>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2D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3A"/>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5C09"/>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0B939BD"/>
    <w:rsid w:val="215A0945"/>
    <w:rsid w:val="21E01B52"/>
    <w:rsid w:val="22071599"/>
    <w:rsid w:val="220E10B9"/>
    <w:rsid w:val="223100B1"/>
    <w:rsid w:val="22635EB7"/>
    <w:rsid w:val="23091760"/>
    <w:rsid w:val="232337B3"/>
    <w:rsid w:val="23826D38"/>
    <w:rsid w:val="23913F12"/>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9D6AB3"/>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376651D"/>
    <w:rsid w:val="640F0F52"/>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6FF715CD"/>
    <w:rsid w:val="708F6DAD"/>
    <w:rsid w:val="70B65B38"/>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91F6B45"/>
    <w:rsid w:val="792C3337"/>
    <w:rsid w:val="79794135"/>
    <w:rsid w:val="79A53CD6"/>
    <w:rsid w:val="7A3351A6"/>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96B21"/>
    <w:rsid w:val="7D8B4291"/>
    <w:rsid w:val="7DBE9282"/>
    <w:rsid w:val="7DCA03D8"/>
    <w:rsid w:val="7DDDADF1"/>
    <w:rsid w:val="7E44440C"/>
    <w:rsid w:val="7E4A1159"/>
    <w:rsid w:val="7E5760A6"/>
    <w:rsid w:val="7E784F83"/>
    <w:rsid w:val="7EC32874"/>
    <w:rsid w:val="7ED226B5"/>
    <w:rsid w:val="7ED319F2"/>
    <w:rsid w:val="7EEF3ECD"/>
    <w:rsid w:val="7EF398E1"/>
    <w:rsid w:val="7EF6798A"/>
    <w:rsid w:val="7EFBFED8"/>
    <w:rsid w:val="7F1D6731"/>
    <w:rsid w:val="7F6C10C9"/>
    <w:rsid w:val="7F9B2C0F"/>
    <w:rsid w:val="7FDA3984"/>
    <w:rsid w:val="7FFD3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5EB7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rsid w:val="006F52AF"/>
    <w:rPr>
      <w:rFonts w:eastAsia="Times New Roman"/>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Lista1,1st level - Bullet List Paragraph,Lettre d'introduction,Paragrafo elenco,Normal bullet 2,Bullet list,Numbered List,- Bullets,リスト段落,?? ??,?????,????,列出段落1,中等深浅网格 1 - 着色 21,¥¡¡¡¡ì¬º¥¹¥È¶ÎÂä,ÁÐ³ö¶ÎÂä,列表段落1,목록 단,リ,¥ê¥¹¥È¶ÎÂä,—ño’i—Ž,목록단락,列表段落11"/>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sid w:val="006F52AF"/>
    <w:rPr>
      <w:rFonts w:eastAsia="Times New Roman"/>
      <w:b/>
      <w:bCs/>
      <w:lang w:val="en-GB" w:eastAsia="en-US"/>
    </w:rPr>
  </w:style>
  <w:style w:type="character" w:customStyle="1" w:styleId="af8">
    <w:name w:val="列表段落 字符"/>
    <w:aliases w:val="Lista1 字符,1st level - Bullet List Paragraph 字符,Lettre d'introduction 字符,Paragrafo elenco 字符,Normal bullet 2 字符,Bullet list 字符,Numbered List 字符,- Bullets 字符,リスト段落 字符,?? ?? 字符,????? 字符,???? 字符,列出段落1 字符,中等深浅网格 1 - 着色 21 字符,¥¡¡¡¡ì¬º¥¹¥È¶ÎÂä 字符,リ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872">
      <w:bodyDiv w:val="1"/>
      <w:marLeft w:val="0"/>
      <w:marRight w:val="0"/>
      <w:marTop w:val="0"/>
      <w:marBottom w:val="0"/>
      <w:divBdr>
        <w:top w:val="none" w:sz="0" w:space="0" w:color="auto"/>
        <w:left w:val="none" w:sz="0" w:space="0" w:color="auto"/>
        <w:bottom w:val="none" w:sz="0" w:space="0" w:color="auto"/>
        <w:right w:val="none" w:sz="0" w:space="0" w:color="auto"/>
      </w:divBdr>
    </w:div>
    <w:div w:id="16741882">
      <w:bodyDiv w:val="1"/>
      <w:marLeft w:val="0"/>
      <w:marRight w:val="0"/>
      <w:marTop w:val="0"/>
      <w:marBottom w:val="0"/>
      <w:divBdr>
        <w:top w:val="none" w:sz="0" w:space="0" w:color="auto"/>
        <w:left w:val="none" w:sz="0" w:space="0" w:color="auto"/>
        <w:bottom w:val="none" w:sz="0" w:space="0" w:color="auto"/>
        <w:right w:val="none" w:sz="0" w:space="0" w:color="auto"/>
      </w:divBdr>
    </w:div>
    <w:div w:id="17052698">
      <w:bodyDiv w:val="1"/>
      <w:marLeft w:val="0"/>
      <w:marRight w:val="0"/>
      <w:marTop w:val="0"/>
      <w:marBottom w:val="0"/>
      <w:divBdr>
        <w:top w:val="none" w:sz="0" w:space="0" w:color="auto"/>
        <w:left w:val="none" w:sz="0" w:space="0" w:color="auto"/>
        <w:bottom w:val="none" w:sz="0" w:space="0" w:color="auto"/>
        <w:right w:val="none" w:sz="0" w:space="0" w:color="auto"/>
      </w:divBdr>
    </w:div>
    <w:div w:id="103616639">
      <w:bodyDiv w:val="1"/>
      <w:marLeft w:val="0"/>
      <w:marRight w:val="0"/>
      <w:marTop w:val="0"/>
      <w:marBottom w:val="0"/>
      <w:divBdr>
        <w:top w:val="none" w:sz="0" w:space="0" w:color="auto"/>
        <w:left w:val="none" w:sz="0" w:space="0" w:color="auto"/>
        <w:bottom w:val="none" w:sz="0" w:space="0" w:color="auto"/>
        <w:right w:val="none" w:sz="0" w:space="0" w:color="auto"/>
      </w:divBdr>
    </w:div>
    <w:div w:id="103768566">
      <w:bodyDiv w:val="1"/>
      <w:marLeft w:val="0"/>
      <w:marRight w:val="0"/>
      <w:marTop w:val="0"/>
      <w:marBottom w:val="0"/>
      <w:divBdr>
        <w:top w:val="none" w:sz="0" w:space="0" w:color="auto"/>
        <w:left w:val="none" w:sz="0" w:space="0" w:color="auto"/>
        <w:bottom w:val="none" w:sz="0" w:space="0" w:color="auto"/>
        <w:right w:val="none" w:sz="0" w:space="0" w:color="auto"/>
      </w:divBdr>
    </w:div>
    <w:div w:id="164320225">
      <w:bodyDiv w:val="1"/>
      <w:marLeft w:val="0"/>
      <w:marRight w:val="0"/>
      <w:marTop w:val="0"/>
      <w:marBottom w:val="0"/>
      <w:divBdr>
        <w:top w:val="none" w:sz="0" w:space="0" w:color="auto"/>
        <w:left w:val="none" w:sz="0" w:space="0" w:color="auto"/>
        <w:bottom w:val="none" w:sz="0" w:space="0" w:color="auto"/>
        <w:right w:val="none" w:sz="0" w:space="0" w:color="auto"/>
      </w:divBdr>
    </w:div>
    <w:div w:id="169377310">
      <w:bodyDiv w:val="1"/>
      <w:marLeft w:val="0"/>
      <w:marRight w:val="0"/>
      <w:marTop w:val="0"/>
      <w:marBottom w:val="0"/>
      <w:divBdr>
        <w:top w:val="none" w:sz="0" w:space="0" w:color="auto"/>
        <w:left w:val="none" w:sz="0" w:space="0" w:color="auto"/>
        <w:bottom w:val="none" w:sz="0" w:space="0" w:color="auto"/>
        <w:right w:val="none" w:sz="0" w:space="0" w:color="auto"/>
      </w:divBdr>
    </w:div>
    <w:div w:id="178278735">
      <w:bodyDiv w:val="1"/>
      <w:marLeft w:val="0"/>
      <w:marRight w:val="0"/>
      <w:marTop w:val="0"/>
      <w:marBottom w:val="0"/>
      <w:divBdr>
        <w:top w:val="none" w:sz="0" w:space="0" w:color="auto"/>
        <w:left w:val="none" w:sz="0" w:space="0" w:color="auto"/>
        <w:bottom w:val="none" w:sz="0" w:space="0" w:color="auto"/>
        <w:right w:val="none" w:sz="0" w:space="0" w:color="auto"/>
      </w:divBdr>
    </w:div>
    <w:div w:id="231741546">
      <w:bodyDiv w:val="1"/>
      <w:marLeft w:val="0"/>
      <w:marRight w:val="0"/>
      <w:marTop w:val="0"/>
      <w:marBottom w:val="0"/>
      <w:divBdr>
        <w:top w:val="none" w:sz="0" w:space="0" w:color="auto"/>
        <w:left w:val="none" w:sz="0" w:space="0" w:color="auto"/>
        <w:bottom w:val="none" w:sz="0" w:space="0" w:color="auto"/>
        <w:right w:val="none" w:sz="0" w:space="0" w:color="auto"/>
      </w:divBdr>
    </w:div>
    <w:div w:id="286930199">
      <w:bodyDiv w:val="1"/>
      <w:marLeft w:val="0"/>
      <w:marRight w:val="0"/>
      <w:marTop w:val="0"/>
      <w:marBottom w:val="0"/>
      <w:divBdr>
        <w:top w:val="none" w:sz="0" w:space="0" w:color="auto"/>
        <w:left w:val="none" w:sz="0" w:space="0" w:color="auto"/>
        <w:bottom w:val="none" w:sz="0" w:space="0" w:color="auto"/>
        <w:right w:val="none" w:sz="0" w:space="0" w:color="auto"/>
      </w:divBdr>
    </w:div>
    <w:div w:id="358893303">
      <w:bodyDiv w:val="1"/>
      <w:marLeft w:val="0"/>
      <w:marRight w:val="0"/>
      <w:marTop w:val="0"/>
      <w:marBottom w:val="0"/>
      <w:divBdr>
        <w:top w:val="none" w:sz="0" w:space="0" w:color="auto"/>
        <w:left w:val="none" w:sz="0" w:space="0" w:color="auto"/>
        <w:bottom w:val="none" w:sz="0" w:space="0" w:color="auto"/>
        <w:right w:val="none" w:sz="0" w:space="0" w:color="auto"/>
      </w:divBdr>
    </w:div>
    <w:div w:id="417993016">
      <w:bodyDiv w:val="1"/>
      <w:marLeft w:val="0"/>
      <w:marRight w:val="0"/>
      <w:marTop w:val="0"/>
      <w:marBottom w:val="0"/>
      <w:divBdr>
        <w:top w:val="none" w:sz="0" w:space="0" w:color="auto"/>
        <w:left w:val="none" w:sz="0" w:space="0" w:color="auto"/>
        <w:bottom w:val="none" w:sz="0" w:space="0" w:color="auto"/>
        <w:right w:val="none" w:sz="0" w:space="0" w:color="auto"/>
      </w:divBdr>
    </w:div>
    <w:div w:id="456945874">
      <w:bodyDiv w:val="1"/>
      <w:marLeft w:val="0"/>
      <w:marRight w:val="0"/>
      <w:marTop w:val="0"/>
      <w:marBottom w:val="0"/>
      <w:divBdr>
        <w:top w:val="none" w:sz="0" w:space="0" w:color="auto"/>
        <w:left w:val="none" w:sz="0" w:space="0" w:color="auto"/>
        <w:bottom w:val="none" w:sz="0" w:space="0" w:color="auto"/>
        <w:right w:val="none" w:sz="0" w:space="0" w:color="auto"/>
      </w:divBdr>
    </w:div>
    <w:div w:id="501357686">
      <w:bodyDiv w:val="1"/>
      <w:marLeft w:val="0"/>
      <w:marRight w:val="0"/>
      <w:marTop w:val="0"/>
      <w:marBottom w:val="0"/>
      <w:divBdr>
        <w:top w:val="none" w:sz="0" w:space="0" w:color="auto"/>
        <w:left w:val="none" w:sz="0" w:space="0" w:color="auto"/>
        <w:bottom w:val="none" w:sz="0" w:space="0" w:color="auto"/>
        <w:right w:val="none" w:sz="0" w:space="0" w:color="auto"/>
      </w:divBdr>
    </w:div>
    <w:div w:id="534270882">
      <w:bodyDiv w:val="1"/>
      <w:marLeft w:val="0"/>
      <w:marRight w:val="0"/>
      <w:marTop w:val="0"/>
      <w:marBottom w:val="0"/>
      <w:divBdr>
        <w:top w:val="none" w:sz="0" w:space="0" w:color="auto"/>
        <w:left w:val="none" w:sz="0" w:space="0" w:color="auto"/>
        <w:bottom w:val="none" w:sz="0" w:space="0" w:color="auto"/>
        <w:right w:val="none" w:sz="0" w:space="0" w:color="auto"/>
      </w:divBdr>
    </w:div>
    <w:div w:id="555892696">
      <w:bodyDiv w:val="1"/>
      <w:marLeft w:val="0"/>
      <w:marRight w:val="0"/>
      <w:marTop w:val="0"/>
      <w:marBottom w:val="0"/>
      <w:divBdr>
        <w:top w:val="none" w:sz="0" w:space="0" w:color="auto"/>
        <w:left w:val="none" w:sz="0" w:space="0" w:color="auto"/>
        <w:bottom w:val="none" w:sz="0" w:space="0" w:color="auto"/>
        <w:right w:val="none" w:sz="0" w:space="0" w:color="auto"/>
      </w:divBdr>
    </w:div>
    <w:div w:id="556209123">
      <w:bodyDiv w:val="1"/>
      <w:marLeft w:val="0"/>
      <w:marRight w:val="0"/>
      <w:marTop w:val="0"/>
      <w:marBottom w:val="0"/>
      <w:divBdr>
        <w:top w:val="none" w:sz="0" w:space="0" w:color="auto"/>
        <w:left w:val="none" w:sz="0" w:space="0" w:color="auto"/>
        <w:bottom w:val="none" w:sz="0" w:space="0" w:color="auto"/>
        <w:right w:val="none" w:sz="0" w:space="0" w:color="auto"/>
      </w:divBdr>
    </w:div>
    <w:div w:id="611864916">
      <w:bodyDiv w:val="1"/>
      <w:marLeft w:val="0"/>
      <w:marRight w:val="0"/>
      <w:marTop w:val="0"/>
      <w:marBottom w:val="0"/>
      <w:divBdr>
        <w:top w:val="none" w:sz="0" w:space="0" w:color="auto"/>
        <w:left w:val="none" w:sz="0" w:space="0" w:color="auto"/>
        <w:bottom w:val="none" w:sz="0" w:space="0" w:color="auto"/>
        <w:right w:val="none" w:sz="0" w:space="0" w:color="auto"/>
      </w:divBdr>
    </w:div>
    <w:div w:id="720327472">
      <w:bodyDiv w:val="1"/>
      <w:marLeft w:val="0"/>
      <w:marRight w:val="0"/>
      <w:marTop w:val="0"/>
      <w:marBottom w:val="0"/>
      <w:divBdr>
        <w:top w:val="none" w:sz="0" w:space="0" w:color="auto"/>
        <w:left w:val="none" w:sz="0" w:space="0" w:color="auto"/>
        <w:bottom w:val="none" w:sz="0" w:space="0" w:color="auto"/>
        <w:right w:val="none" w:sz="0" w:space="0" w:color="auto"/>
      </w:divBdr>
    </w:div>
    <w:div w:id="772166295">
      <w:bodyDiv w:val="1"/>
      <w:marLeft w:val="0"/>
      <w:marRight w:val="0"/>
      <w:marTop w:val="0"/>
      <w:marBottom w:val="0"/>
      <w:divBdr>
        <w:top w:val="none" w:sz="0" w:space="0" w:color="auto"/>
        <w:left w:val="none" w:sz="0" w:space="0" w:color="auto"/>
        <w:bottom w:val="none" w:sz="0" w:space="0" w:color="auto"/>
        <w:right w:val="none" w:sz="0" w:space="0" w:color="auto"/>
      </w:divBdr>
    </w:div>
    <w:div w:id="784033495">
      <w:bodyDiv w:val="1"/>
      <w:marLeft w:val="0"/>
      <w:marRight w:val="0"/>
      <w:marTop w:val="0"/>
      <w:marBottom w:val="0"/>
      <w:divBdr>
        <w:top w:val="none" w:sz="0" w:space="0" w:color="auto"/>
        <w:left w:val="none" w:sz="0" w:space="0" w:color="auto"/>
        <w:bottom w:val="none" w:sz="0" w:space="0" w:color="auto"/>
        <w:right w:val="none" w:sz="0" w:space="0" w:color="auto"/>
      </w:divBdr>
    </w:div>
    <w:div w:id="892543535">
      <w:bodyDiv w:val="1"/>
      <w:marLeft w:val="0"/>
      <w:marRight w:val="0"/>
      <w:marTop w:val="0"/>
      <w:marBottom w:val="0"/>
      <w:divBdr>
        <w:top w:val="none" w:sz="0" w:space="0" w:color="auto"/>
        <w:left w:val="none" w:sz="0" w:space="0" w:color="auto"/>
        <w:bottom w:val="none" w:sz="0" w:space="0" w:color="auto"/>
        <w:right w:val="none" w:sz="0" w:space="0" w:color="auto"/>
      </w:divBdr>
    </w:div>
    <w:div w:id="914902666">
      <w:bodyDiv w:val="1"/>
      <w:marLeft w:val="0"/>
      <w:marRight w:val="0"/>
      <w:marTop w:val="0"/>
      <w:marBottom w:val="0"/>
      <w:divBdr>
        <w:top w:val="none" w:sz="0" w:space="0" w:color="auto"/>
        <w:left w:val="none" w:sz="0" w:space="0" w:color="auto"/>
        <w:bottom w:val="none" w:sz="0" w:space="0" w:color="auto"/>
        <w:right w:val="none" w:sz="0" w:space="0" w:color="auto"/>
      </w:divBdr>
    </w:div>
    <w:div w:id="926429072">
      <w:bodyDiv w:val="1"/>
      <w:marLeft w:val="0"/>
      <w:marRight w:val="0"/>
      <w:marTop w:val="0"/>
      <w:marBottom w:val="0"/>
      <w:divBdr>
        <w:top w:val="none" w:sz="0" w:space="0" w:color="auto"/>
        <w:left w:val="none" w:sz="0" w:space="0" w:color="auto"/>
        <w:bottom w:val="none" w:sz="0" w:space="0" w:color="auto"/>
        <w:right w:val="none" w:sz="0" w:space="0" w:color="auto"/>
      </w:divBdr>
    </w:div>
    <w:div w:id="951866460">
      <w:bodyDiv w:val="1"/>
      <w:marLeft w:val="0"/>
      <w:marRight w:val="0"/>
      <w:marTop w:val="0"/>
      <w:marBottom w:val="0"/>
      <w:divBdr>
        <w:top w:val="none" w:sz="0" w:space="0" w:color="auto"/>
        <w:left w:val="none" w:sz="0" w:space="0" w:color="auto"/>
        <w:bottom w:val="none" w:sz="0" w:space="0" w:color="auto"/>
        <w:right w:val="none" w:sz="0" w:space="0" w:color="auto"/>
      </w:divBdr>
    </w:div>
    <w:div w:id="1020358134">
      <w:bodyDiv w:val="1"/>
      <w:marLeft w:val="0"/>
      <w:marRight w:val="0"/>
      <w:marTop w:val="0"/>
      <w:marBottom w:val="0"/>
      <w:divBdr>
        <w:top w:val="none" w:sz="0" w:space="0" w:color="auto"/>
        <w:left w:val="none" w:sz="0" w:space="0" w:color="auto"/>
        <w:bottom w:val="none" w:sz="0" w:space="0" w:color="auto"/>
        <w:right w:val="none" w:sz="0" w:space="0" w:color="auto"/>
      </w:divBdr>
    </w:div>
    <w:div w:id="1064065635">
      <w:bodyDiv w:val="1"/>
      <w:marLeft w:val="0"/>
      <w:marRight w:val="0"/>
      <w:marTop w:val="0"/>
      <w:marBottom w:val="0"/>
      <w:divBdr>
        <w:top w:val="none" w:sz="0" w:space="0" w:color="auto"/>
        <w:left w:val="none" w:sz="0" w:space="0" w:color="auto"/>
        <w:bottom w:val="none" w:sz="0" w:space="0" w:color="auto"/>
        <w:right w:val="none" w:sz="0" w:space="0" w:color="auto"/>
      </w:divBdr>
    </w:div>
    <w:div w:id="1065179138">
      <w:bodyDiv w:val="1"/>
      <w:marLeft w:val="0"/>
      <w:marRight w:val="0"/>
      <w:marTop w:val="0"/>
      <w:marBottom w:val="0"/>
      <w:divBdr>
        <w:top w:val="none" w:sz="0" w:space="0" w:color="auto"/>
        <w:left w:val="none" w:sz="0" w:space="0" w:color="auto"/>
        <w:bottom w:val="none" w:sz="0" w:space="0" w:color="auto"/>
        <w:right w:val="none" w:sz="0" w:space="0" w:color="auto"/>
      </w:divBdr>
    </w:div>
    <w:div w:id="1105266791">
      <w:bodyDiv w:val="1"/>
      <w:marLeft w:val="0"/>
      <w:marRight w:val="0"/>
      <w:marTop w:val="0"/>
      <w:marBottom w:val="0"/>
      <w:divBdr>
        <w:top w:val="none" w:sz="0" w:space="0" w:color="auto"/>
        <w:left w:val="none" w:sz="0" w:space="0" w:color="auto"/>
        <w:bottom w:val="none" w:sz="0" w:space="0" w:color="auto"/>
        <w:right w:val="none" w:sz="0" w:space="0" w:color="auto"/>
      </w:divBdr>
    </w:div>
    <w:div w:id="1610821892">
      <w:bodyDiv w:val="1"/>
      <w:marLeft w:val="0"/>
      <w:marRight w:val="0"/>
      <w:marTop w:val="0"/>
      <w:marBottom w:val="0"/>
      <w:divBdr>
        <w:top w:val="none" w:sz="0" w:space="0" w:color="auto"/>
        <w:left w:val="none" w:sz="0" w:space="0" w:color="auto"/>
        <w:bottom w:val="none" w:sz="0" w:space="0" w:color="auto"/>
        <w:right w:val="none" w:sz="0" w:space="0" w:color="auto"/>
      </w:divBdr>
    </w:div>
    <w:div w:id="1700348148">
      <w:bodyDiv w:val="1"/>
      <w:marLeft w:val="0"/>
      <w:marRight w:val="0"/>
      <w:marTop w:val="0"/>
      <w:marBottom w:val="0"/>
      <w:divBdr>
        <w:top w:val="none" w:sz="0" w:space="0" w:color="auto"/>
        <w:left w:val="none" w:sz="0" w:space="0" w:color="auto"/>
        <w:bottom w:val="none" w:sz="0" w:space="0" w:color="auto"/>
        <w:right w:val="none" w:sz="0" w:space="0" w:color="auto"/>
      </w:divBdr>
    </w:div>
    <w:div w:id="1735621735">
      <w:bodyDiv w:val="1"/>
      <w:marLeft w:val="0"/>
      <w:marRight w:val="0"/>
      <w:marTop w:val="0"/>
      <w:marBottom w:val="0"/>
      <w:divBdr>
        <w:top w:val="none" w:sz="0" w:space="0" w:color="auto"/>
        <w:left w:val="none" w:sz="0" w:space="0" w:color="auto"/>
        <w:bottom w:val="none" w:sz="0" w:space="0" w:color="auto"/>
        <w:right w:val="none" w:sz="0" w:space="0" w:color="auto"/>
      </w:divBdr>
    </w:div>
    <w:div w:id="1909266947">
      <w:bodyDiv w:val="1"/>
      <w:marLeft w:val="0"/>
      <w:marRight w:val="0"/>
      <w:marTop w:val="0"/>
      <w:marBottom w:val="0"/>
      <w:divBdr>
        <w:top w:val="none" w:sz="0" w:space="0" w:color="auto"/>
        <w:left w:val="none" w:sz="0" w:space="0" w:color="auto"/>
        <w:bottom w:val="none" w:sz="0" w:space="0" w:color="auto"/>
        <w:right w:val="none" w:sz="0" w:space="0" w:color="auto"/>
      </w:divBdr>
    </w:div>
    <w:div w:id="1956600656">
      <w:bodyDiv w:val="1"/>
      <w:marLeft w:val="0"/>
      <w:marRight w:val="0"/>
      <w:marTop w:val="0"/>
      <w:marBottom w:val="0"/>
      <w:divBdr>
        <w:top w:val="none" w:sz="0" w:space="0" w:color="auto"/>
        <w:left w:val="none" w:sz="0" w:space="0" w:color="auto"/>
        <w:bottom w:val="none" w:sz="0" w:space="0" w:color="auto"/>
        <w:right w:val="none" w:sz="0" w:space="0" w:color="auto"/>
      </w:divBdr>
    </w:div>
    <w:div w:id="2020428678">
      <w:bodyDiv w:val="1"/>
      <w:marLeft w:val="0"/>
      <w:marRight w:val="0"/>
      <w:marTop w:val="0"/>
      <w:marBottom w:val="0"/>
      <w:divBdr>
        <w:top w:val="none" w:sz="0" w:space="0" w:color="auto"/>
        <w:left w:val="none" w:sz="0" w:space="0" w:color="auto"/>
        <w:bottom w:val="none" w:sz="0" w:space="0" w:color="auto"/>
        <w:right w:val="none" w:sz="0" w:space="0" w:color="auto"/>
      </w:divBdr>
    </w:div>
    <w:div w:id="20491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1538</Words>
  <Characters>9388</Characters>
  <Application>Microsoft Office Word</Application>
  <DocSecurity>0</DocSecurity>
  <Lines>78</Lines>
  <Paragraphs>21</Paragraphs>
  <ScaleCrop>false</ScaleCrop>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2025-11-06T07:59:00Z</dcterms:created>
  <dcterms:modified xsi:type="dcterms:W3CDTF">2025-11-07T06:18:00Z</dcterms:modified>
</cp:coreProperties>
</file>